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ноября 2012 г. N 1119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ЗАЩИТЕ ПЕРСОНАЛЬНЫХ ДАННЫХ ПРИ ИХ ОБРАБОТКЕ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ноября 2012 г. N 1119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ТРЕБОВАНИЯ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ЗАЩИТЕ ПЕРСОНАЛЬНЫХ ДАННЫХ ПРИ ИХ ОБРАБОТКЕ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</w:t>
      </w:r>
      <w:r>
        <w:rPr>
          <w:rFonts w:ascii="Calibri" w:hAnsi="Calibri" w:cs="Calibri"/>
        </w:rPr>
        <w:lastRenderedPageBreak/>
        <w:t>уполномоченного лица обеспечить безопасность персональных данных при их обработке в информационной системе.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rFonts w:ascii="Calibri" w:hAnsi="Calibri" w:cs="Calibri"/>
            <w:color w:val="0000FF"/>
          </w:rPr>
          <w:t>части 4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  <w:proofErr w:type="gramEnd"/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5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37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rPr>
          <w:rFonts w:ascii="Calibri" w:hAnsi="Calibri" w:cs="Calibri"/>
        </w:rPr>
        <w:t>результатом</w:t>
      </w:r>
      <w:proofErr w:type="gramEnd"/>
      <w:r>
        <w:rPr>
          <w:rFonts w:ascii="Calibri" w:hAnsi="Calibri" w:cs="Calibri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Угрозы 1-го типа актуальны для информационной системы, если для </w:t>
      </w:r>
      <w:proofErr w:type="gramStart"/>
      <w:r>
        <w:rPr>
          <w:rFonts w:ascii="Calibri" w:hAnsi="Calibri" w:cs="Calibri"/>
        </w:rPr>
        <w:t>нее</w:t>
      </w:r>
      <w:proofErr w:type="gramEnd"/>
      <w:r>
        <w:rPr>
          <w:rFonts w:ascii="Calibri" w:hAnsi="Calibri" w:cs="Calibri"/>
        </w:rPr>
        <w:t xml:space="preserve"> в том числе актуальны угрозы, связанные с наличием недокументированных (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>) возможностей в системном программном обеспечении, используемом в информационной системе.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Угрозы 2-го типа актуальны для информационной системы, если для </w:t>
      </w:r>
      <w:proofErr w:type="gramStart"/>
      <w:r>
        <w:rPr>
          <w:rFonts w:ascii="Calibri" w:hAnsi="Calibri" w:cs="Calibri"/>
        </w:rPr>
        <w:t>нее</w:t>
      </w:r>
      <w:proofErr w:type="gramEnd"/>
      <w:r>
        <w:rPr>
          <w:rFonts w:ascii="Calibri" w:hAnsi="Calibri" w:cs="Calibri"/>
        </w:rPr>
        <w:t xml:space="preserve"> в том числе актуальны угрозы, связанные с наличием недокументированных (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>) возможностей в прикладном программном обеспечении, используемом в информационной системе.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>) возможностей в системном и прикладном программном обеспечении, используемом в информационной системе.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rFonts w:ascii="Calibri" w:hAnsi="Calibri" w:cs="Calibri"/>
            <w:color w:val="0000FF"/>
          </w:rPr>
          <w:t>пункта 5 части 1 статьи 18.1</w:t>
        </w:r>
      </w:hyperlink>
      <w:r>
        <w:rPr>
          <w:rFonts w:ascii="Calibri" w:hAnsi="Calibri" w:cs="Calibri"/>
        </w:rP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rFonts w:ascii="Calibri" w:hAnsi="Calibri" w:cs="Calibri"/>
            <w:color w:val="0000FF"/>
          </w:rPr>
          <w:t>части 5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65"/>
      <w:bookmarkEnd w:id="3"/>
      <w:r>
        <w:rPr>
          <w:rFonts w:ascii="Calibri" w:hAnsi="Calibri" w:cs="Calibri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сохранности носителей персональных данных;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70"/>
      <w:bookmarkEnd w:id="4"/>
      <w:r>
        <w:rPr>
          <w:rFonts w:ascii="Calibri" w:hAnsi="Calibri" w:cs="Calibri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0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</w:t>
      </w:r>
      <w:r>
        <w:rPr>
          <w:rFonts w:ascii="Calibri" w:hAnsi="Calibri" w:cs="Calibri"/>
        </w:rPr>
        <w:lastRenderedPageBreak/>
        <w:t>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ar71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документа, необходимо выполнение следующих требований: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автоматическая регистрация в электронном журнале </w:t>
      </w:r>
      <w:proofErr w:type="gramStart"/>
      <w:r>
        <w:rPr>
          <w:rFonts w:ascii="Calibri" w:hAnsi="Calibri" w:cs="Calibri"/>
        </w:rPr>
        <w:t>безопасности изменения полномочий сотрудника оператора</w:t>
      </w:r>
      <w:proofErr w:type="gramEnd"/>
      <w:r>
        <w:rPr>
          <w:rFonts w:ascii="Calibri" w:hAnsi="Calibri" w:cs="Calibri"/>
        </w:rPr>
        <w:t xml:space="preserve"> по доступу к персональным данным, содержащимся в информационной системе;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991FFB" w:rsidRDefault="00991FFB" w:rsidP="00991F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FFB" w:rsidRDefault="00991FFB" w:rsidP="0099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FFB" w:rsidRDefault="00991FFB" w:rsidP="00991FF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918F9" w:rsidRDefault="00991FFB">
      <w:bookmarkStart w:id="6" w:name="_GoBack"/>
      <w:bookmarkEnd w:id="6"/>
    </w:p>
    <w:sectPr w:rsidR="00D918F9" w:rsidSect="00462C2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B1"/>
    <w:rsid w:val="001409B1"/>
    <w:rsid w:val="008141A8"/>
    <w:rsid w:val="00991FFB"/>
    <w:rsid w:val="00D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38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2596" TargetMode="External"/><Relationship Id="rId11" Type="http://schemas.openxmlformats.org/officeDocument/2006/relationships/hyperlink" Target="https://login.consultant.ru/link/?req=doc&amp;base=LAW&amp;n=482686&amp;dst=100385" TargetMode="External"/><Relationship Id="rId5" Type="http://schemas.openxmlformats.org/officeDocument/2006/relationships/hyperlink" Target="https://login.consultant.ru/link/?req=doc&amp;base=LAW&amp;n=482686&amp;dst=100382" TargetMode="External"/><Relationship Id="rId10" Type="http://schemas.openxmlformats.org/officeDocument/2006/relationships/hyperlink" Target="https://login.consultant.ru/link/?req=doc&amp;base=LAW&amp;n=482686&amp;dst=100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Репанова</dc:creator>
  <cp:keywords/>
  <dc:description/>
  <cp:lastModifiedBy>Ирина Борисовна Репанова</cp:lastModifiedBy>
  <cp:revision>2</cp:revision>
  <dcterms:created xsi:type="dcterms:W3CDTF">2024-08-20T11:37:00Z</dcterms:created>
  <dcterms:modified xsi:type="dcterms:W3CDTF">2024-08-20T11:37:00Z</dcterms:modified>
</cp:coreProperties>
</file>