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3" w:rsidRDefault="00FC43A3"/>
    <w:p w:rsidR="005C6A09" w:rsidRPr="003734B8" w:rsidRDefault="00F475E4" w:rsidP="00AA06FF">
      <w:pPr>
        <w:pStyle w:val="a8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AA06FF">
        <w:rPr>
          <w:b/>
          <w:sz w:val="28"/>
          <w:szCs w:val="28"/>
        </w:rPr>
        <w:t xml:space="preserve">жидаемые итоги социально-экономического развития сельского поселения за </w:t>
      </w:r>
      <w:r>
        <w:rPr>
          <w:b/>
          <w:sz w:val="28"/>
          <w:szCs w:val="28"/>
        </w:rPr>
        <w:t>2018</w:t>
      </w:r>
      <w:r w:rsidR="00AA06FF">
        <w:rPr>
          <w:b/>
          <w:sz w:val="28"/>
          <w:szCs w:val="28"/>
        </w:rPr>
        <w:t xml:space="preserve"> год</w:t>
      </w:r>
    </w:p>
    <w:p w:rsidR="005C6A09" w:rsidRDefault="005C6A09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A06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постоянного населения составила 5091 тыс. человек, что на 3</w:t>
      </w:r>
      <w:r w:rsidR="00AA06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больше в сравнении с 201</w:t>
      </w:r>
      <w:r w:rsidR="00AA06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Темп роста составил 100,6</w:t>
      </w:r>
      <w:r w:rsidR="00AA06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оценке, </w:t>
      </w:r>
      <w:proofErr w:type="gram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численность населения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5099 человек, увеличившись по сравнению с 2017 годом на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A06F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                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Естественный прирост населения обусловлен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826CFA" w:rsidRPr="00826CFA" w:rsidRDefault="00826CFA" w:rsidP="00826CFA">
      <w:pPr>
        <w:spacing w:after="0" w:line="240" w:lineRule="auto"/>
        <w:jc w:val="center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</w:p>
    <w:p w:rsidR="00A25711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A25711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ООО «ГОРИЗОНТ»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25711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занимается только разведочным бурением и добычи полезных ископаемых не имеет. 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="00A25711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о оценке в 2018 году составит 144769,12 тыс. руб.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Объем обрабатывающего производства формируется исходя из деятельности двух предприятий: ООО «Вектор» и ООО «Тюмень Универсал Лесопереработка». По ООО «Вектор» 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ожидание в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2018 год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состав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ит 28767,96 тыс. рублей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Производство ООО «Тюмень Универсал 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Лесопереработка» п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 оценке, в 2018 году производство данного предприятия составит 15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251,74 тыс. рублей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 снижение показателей связано с тем, что предприятие находится в стадии банкротства.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Производство и распределение электроэнергии, газа, воды осуществляется за счет МП «ЖЭК-3» и ООО «ГОРИЗОНТ»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теплоэнергия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 По оценке производство в 2018 го</w:t>
      </w:r>
      <w:r w:rsidR="00A25711">
        <w:rPr>
          <w:rFonts w:ascii="Times New Roman" w:eastAsia="Batang" w:hAnsi="Times New Roman" w:cs="Times New Roman"/>
          <w:sz w:val="28"/>
          <w:szCs w:val="28"/>
          <w:lang w:eastAsia="ko-KR"/>
        </w:rPr>
        <w:t>ду составит 99249,42 тыс. руб.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сельского поселения Горноправдинск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2018 году сбор картофеля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745 тонн, 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овощей составит 172 тонны,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E7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составит 46,3 тонн,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увеличение обусловлено повышением производства мяса в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крестьянских (фермерских) хозяйствах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производс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молока составит 535,7 тонн,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яиц в 2018 году производство яиц составит 1,9 тыс. штук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FA" w:rsidRPr="00826CFA" w:rsidRDefault="006B47E7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оценка по р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астениеводств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470,84 тыс. рублей.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животноводству в 201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918,35 тыс. руб.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всех категорий по оценке 2018 года составит</w:t>
      </w:r>
      <w:r w:rsidR="006B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растениеводству 100,27% и животноводству 100,65% соответственно.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E3562C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Трудовые ресурсы.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Среднесписочная численность работающих в поселении в 201</w:t>
      </w:r>
      <w:r w:rsidR="006B4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состави</w:t>
      </w:r>
      <w:r w:rsidR="006B4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6B4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2797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касается уровня безработицы, то на </w:t>
      </w:r>
      <w:r w:rsidR="006B4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2018 года он состави</w:t>
      </w:r>
      <w:r w:rsidR="006B4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3,25% (94</w:t>
      </w:r>
      <w:r w:rsidR="006B47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человека).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Платные услуги.</w:t>
      </w:r>
    </w:p>
    <w:p w:rsidR="009A3342" w:rsidRDefault="00826CFA" w:rsidP="00E356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За 201</w:t>
      </w:r>
      <w:r w:rsidR="00E3562C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 предприятиями всех форм собственности оказано платных услуг населению сельского поселения Горноправдинск на общую сумму      </w:t>
      </w:r>
      <w:r w:rsidR="00E3562C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F475E4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="00E3562C">
        <w:rPr>
          <w:rFonts w:ascii="Times New Roman" w:eastAsia="Batang" w:hAnsi="Times New Roman" w:cs="Times New Roman"/>
          <w:sz w:val="28"/>
          <w:szCs w:val="28"/>
          <w:lang w:eastAsia="ko-KR"/>
        </w:rPr>
        <w:t>089,87 тыс. руб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  Предприятие муниципальной формы собственности МП «Комплекс-Плюс» предоставляет плат</w:t>
      </w:r>
      <w:r w:rsidR="00F475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ные услуги населению: жилищные,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</w:t>
      </w:r>
    </w:p>
    <w:p w:rsidR="00E3562C" w:rsidRPr="00826CFA" w:rsidRDefault="00E3562C" w:rsidP="00E3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сельского поселения Горноправдинск: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В целях исполнения полномочий в соответствии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законам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Реконструкция ГРС п. Горноправдинск (собственник ООО «Газпром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трансгаз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Горноправдинск).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Газификация, строительство водопровода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еть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3. Строительство поселкового водозабора с очистными сооружениями.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4. Строительство резервной нитки насосного канализационного коллектора.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5. Ремонт поселковых дорог, контроль за сохранностью автодорог.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6. Реконструкция поселковых котельных,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тепловодотрасс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7. Строительство подводящих водопроводов от кольцевого водопровода к жилым домам.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 Телефонизация новых жилых объектов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мкр.Кедровый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9. В связи с увеличением этажности жилых домов, необходимо строительство пожарного депо.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10. Строительство культурно - досугового центра 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п.Горноправдинск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11. Предоставление земельных участков под индивидуальное строительство. 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12. Проблематика ветхого жилья, снос и обеспечение населения жилыми помещениями.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13. Замена подземной части поселковых газопроводов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мкр.Таежный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14. Строительство междугородней автобусной станции.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15. Реконструкция объездной дороги от причала экспедиции</w:t>
      </w:r>
      <w:r w:rsidRPr="00826CFA">
        <w:rPr>
          <w:rFonts w:ascii="Times New Roman" w:eastAsia="Batang" w:hAnsi="Times New Roman" w:cs="Times New Roman"/>
          <w:color w:val="FFFF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ул.Производственная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от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ул.Производственной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ледовой переправы в зимнее время.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16. Обустройство территории нового поселкового кладбища.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17. Решение проблемы, связанной с обрушаемой зоной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 приведение в соответствие с нормами действующего законодательства переселение жителей микрорайона.</w:t>
      </w:r>
    </w:p>
    <w:p w:rsidR="00826CFA" w:rsidRPr="00826CFA" w:rsidRDefault="00826CFA" w:rsidP="00826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3734B8" w:rsidRDefault="003734B8" w:rsidP="0037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4B8">
        <w:rPr>
          <w:rFonts w:ascii="Times New Roman" w:hAnsi="Times New Roman" w:cs="Times New Roman"/>
          <w:sz w:val="28"/>
          <w:szCs w:val="28"/>
        </w:rPr>
        <w:t>Глава</w:t>
      </w:r>
    </w:p>
    <w:p w:rsidR="003734B8" w:rsidRPr="003734B8" w:rsidRDefault="003734B8" w:rsidP="0037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4B8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34B8">
        <w:rPr>
          <w:rFonts w:ascii="Times New Roman" w:hAnsi="Times New Roman" w:cs="Times New Roman"/>
          <w:sz w:val="28"/>
          <w:szCs w:val="28"/>
        </w:rPr>
        <w:t xml:space="preserve"> О.С. Садков</w:t>
      </w:r>
    </w:p>
    <w:p w:rsidR="00FC43A3" w:rsidRPr="00826CFA" w:rsidRDefault="00FC43A3"/>
    <w:p w:rsidR="00856415" w:rsidRPr="00826CFA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05A28"/>
    <w:rsid w:val="00087C65"/>
    <w:rsid w:val="000974A0"/>
    <w:rsid w:val="00174F83"/>
    <w:rsid w:val="001B5200"/>
    <w:rsid w:val="0022401C"/>
    <w:rsid w:val="00346ED6"/>
    <w:rsid w:val="003734B8"/>
    <w:rsid w:val="00445116"/>
    <w:rsid w:val="004C6B3D"/>
    <w:rsid w:val="004D5AC7"/>
    <w:rsid w:val="0056016B"/>
    <w:rsid w:val="00580CAA"/>
    <w:rsid w:val="005C3363"/>
    <w:rsid w:val="005C6A09"/>
    <w:rsid w:val="006818F6"/>
    <w:rsid w:val="006B47E7"/>
    <w:rsid w:val="007C39ED"/>
    <w:rsid w:val="00826CFA"/>
    <w:rsid w:val="00856415"/>
    <w:rsid w:val="008A1363"/>
    <w:rsid w:val="009A3342"/>
    <w:rsid w:val="009F2884"/>
    <w:rsid w:val="00A25711"/>
    <w:rsid w:val="00AA06FF"/>
    <w:rsid w:val="00AE63EB"/>
    <w:rsid w:val="00B53185"/>
    <w:rsid w:val="00BD0584"/>
    <w:rsid w:val="00BD0704"/>
    <w:rsid w:val="00C127D3"/>
    <w:rsid w:val="00C42A74"/>
    <w:rsid w:val="00D00BAD"/>
    <w:rsid w:val="00D56137"/>
    <w:rsid w:val="00D9071E"/>
    <w:rsid w:val="00E3562C"/>
    <w:rsid w:val="00E4756D"/>
    <w:rsid w:val="00F23BFF"/>
    <w:rsid w:val="00F475E4"/>
    <w:rsid w:val="00F512B3"/>
    <w:rsid w:val="00FC43A3"/>
    <w:rsid w:val="00FE235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81CE-9BEA-4D1A-9A0F-1F43BBAC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Валентина Владимиров</cp:lastModifiedBy>
  <cp:revision>39</cp:revision>
  <cp:lastPrinted>2018-11-12T09:35:00Z</cp:lastPrinted>
  <dcterms:created xsi:type="dcterms:W3CDTF">2017-10-25T05:28:00Z</dcterms:created>
  <dcterms:modified xsi:type="dcterms:W3CDTF">2018-11-13T10:32:00Z</dcterms:modified>
</cp:coreProperties>
</file>