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F6" w:rsidRDefault="00C76D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961F6" w:rsidRDefault="00C76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840A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и использования финансовых </w:t>
      </w:r>
      <w:r w:rsidR="00840AB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редств</w:t>
      </w:r>
    </w:p>
    <w:p w:rsidR="00A961F6" w:rsidRDefault="00C76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84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7C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84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40AB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840AB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A961F6" w:rsidRDefault="00C76D6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(отчетный период)</w:t>
      </w:r>
    </w:p>
    <w:p w:rsidR="00A961F6" w:rsidRDefault="00C76D68" w:rsidP="00700625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 </w:t>
      </w:r>
      <w:r>
        <w:rPr>
          <w:rFonts w:ascii="Times New Roman" w:hAnsi="Times New Roman" w:cs="Times New Roman"/>
          <w:sz w:val="24"/>
          <w:szCs w:val="24"/>
          <w:u w:val="single"/>
        </w:rPr>
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</w: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36"/>
        <w:gridCol w:w="1417"/>
        <w:gridCol w:w="1276"/>
        <w:gridCol w:w="1134"/>
        <w:gridCol w:w="992"/>
        <w:gridCol w:w="5387"/>
      </w:tblGrid>
      <w:tr w:rsidR="00A91B96" w:rsidTr="008F4971"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&lt;*&gt;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="008F4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5387" w:type="dxa"/>
            <w:vMerge w:val="restart"/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</w:t>
            </w:r>
          </w:p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причин неисполнения**)</w:t>
            </w:r>
          </w:p>
        </w:tc>
      </w:tr>
      <w:tr w:rsidR="000927C0" w:rsidTr="008F4971">
        <w:trPr>
          <w:trHeight w:val="693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A961F6" w:rsidRDefault="00C76D68" w:rsidP="000927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района на 202</w:t>
            </w:r>
            <w:r w:rsidR="000927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(касса)</w:t>
            </w: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A961F6" w:rsidRDefault="00A96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120"/>
        </w:trPr>
        <w:tc>
          <w:tcPr>
            <w:tcW w:w="4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4702" w:rsidTr="008F4971">
        <w:trPr>
          <w:trHeight w:val="455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«Гармонизация межнациональных и межконфессиональных отношений»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387" w:type="dxa"/>
            <w:vMerge w:val="restart"/>
          </w:tcPr>
          <w:p w:rsidR="00684702" w:rsidRDefault="00FE071A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основному мероприятию</w:t>
            </w:r>
            <w:r w:rsidR="00BD11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  <w:r w:rsidRPr="005B2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2024 год составляет 455,0 тыс. рублей. На отчетную дату освоено 175,0 тыс. рублей.</w:t>
            </w:r>
            <w:r w:rsidR="005B2555" w:rsidRPr="005B2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конец года планируется 100% исполнение.</w:t>
            </w:r>
          </w:p>
        </w:tc>
      </w:tr>
      <w:tr w:rsidR="00684702" w:rsidTr="008F4971">
        <w:trPr>
          <w:trHeight w:val="455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 w:rsidP="008F4971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 w:rsidP="00971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02" w:rsidRDefault="00684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387" w:type="dxa"/>
            <w:vMerge/>
          </w:tcPr>
          <w:p w:rsidR="00684702" w:rsidRDefault="00684702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915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 w:rsidP="008F4971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 w:rsidP="00971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387" w:type="dxa"/>
            <w:vMerge w:val="restart"/>
          </w:tcPr>
          <w:p w:rsidR="00A961F6" w:rsidRDefault="00FE071A" w:rsidP="008F4971">
            <w:pPr>
              <w:pStyle w:val="ae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13614" w:rsidRPr="00313614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правлением по культуре, спорту и социальной политике </w:t>
            </w:r>
            <w:r w:rsidR="00313614">
              <w:rPr>
                <w:rFonts w:ascii="Times New Roman" w:hAnsi="Times New Roman" w:cs="Times New Roman"/>
                <w:sz w:val="20"/>
                <w:szCs w:val="20"/>
              </w:rPr>
              <w:t>освоено 100,0 тыс. рублей</w:t>
            </w:r>
            <w:r w:rsidR="00313614" w:rsidRPr="00313614">
              <w:rPr>
                <w:rFonts w:ascii="Times New Roman" w:hAnsi="Times New Roman" w:cs="Times New Roman"/>
                <w:sz w:val="20"/>
                <w:szCs w:val="20"/>
              </w:rPr>
              <w:t xml:space="preserve"> на организацию праздника коренных малочисленных народов Севера «Вороний день».</w:t>
            </w:r>
          </w:p>
          <w:p w:rsidR="00313614" w:rsidRPr="00313614" w:rsidRDefault="00313614" w:rsidP="008F4971">
            <w:pPr>
              <w:pStyle w:val="ae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тыс. рублей </w:t>
            </w:r>
            <w:r w:rsidRPr="0031361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по культуре, спорту и социальной политике запланировано </w:t>
            </w:r>
            <w:r w:rsidR="002D57E5">
              <w:rPr>
                <w:rFonts w:ascii="Times New Roman" w:hAnsi="Times New Roman" w:cs="Times New Roman"/>
                <w:sz w:val="20"/>
                <w:szCs w:val="20"/>
              </w:rPr>
              <w:t xml:space="preserve">к реализации </w:t>
            </w:r>
            <w:r w:rsidRPr="00313614">
              <w:rPr>
                <w:rFonts w:ascii="Times New Roman" w:hAnsi="Times New Roman" w:cs="Times New Roman"/>
                <w:sz w:val="20"/>
                <w:szCs w:val="20"/>
              </w:rPr>
              <w:t>в ноябре 2024 года на организацию фестиваля национальных культур «Радуга дружбы».</w:t>
            </w:r>
          </w:p>
        </w:tc>
      </w:tr>
      <w:tr w:rsidR="000927C0" w:rsidTr="008F4971">
        <w:trPr>
          <w:trHeight w:val="915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 w:rsidP="008F4971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 w:rsidP="00971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387" w:type="dxa"/>
            <w:vMerge/>
          </w:tcPr>
          <w:p w:rsidR="00A961F6" w:rsidRDefault="00A961F6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455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 w:rsidP="008F4971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лучших журналистских работ, способствующий формированию</w:t>
            </w:r>
            <w:r w:rsidR="008F4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положительного представления о многонациональности Ханты-Мансийского района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 w:rsidP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 w:val="restart"/>
          </w:tcPr>
          <w:p w:rsidR="00FD32D8" w:rsidRDefault="00FE071A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D32D8" w:rsidRPr="00FD32D8">
              <w:rPr>
                <w:rFonts w:ascii="Times New Roman" w:hAnsi="Times New Roman" w:cs="Times New Roman"/>
                <w:sz w:val="20"/>
                <w:szCs w:val="20"/>
              </w:rPr>
              <w:t>онкурс лучших журналистских работ</w:t>
            </w:r>
            <w:r w:rsidR="00FD32D8"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комитетом по образованию </w:t>
            </w:r>
            <w:r w:rsidR="002D57E5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 к проведению </w:t>
            </w:r>
            <w:r w:rsidR="00FD32D8">
              <w:rPr>
                <w:rFonts w:ascii="Times New Roman" w:hAnsi="Times New Roman" w:cs="Times New Roman"/>
                <w:sz w:val="20"/>
                <w:szCs w:val="20"/>
              </w:rPr>
              <w:t xml:space="preserve">в декабре 2024 года, с освоением </w:t>
            </w:r>
            <w:r w:rsidR="00FD32D8" w:rsidRPr="00FD32D8">
              <w:rPr>
                <w:rFonts w:ascii="Times New Roman" w:hAnsi="Times New Roman" w:cs="Times New Roman"/>
                <w:sz w:val="20"/>
                <w:szCs w:val="20"/>
              </w:rPr>
              <w:t>денежных средств 80,0 тыс. рублей.</w:t>
            </w:r>
            <w:r w:rsidR="00FD3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27C0" w:rsidTr="008F4971">
        <w:trPr>
          <w:trHeight w:val="455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 w:rsidP="008F4971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 w:rsidP="00971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/>
          </w:tcPr>
          <w:p w:rsidR="00A961F6" w:rsidRDefault="00A961F6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519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 w:rsidP="008F4971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мероприятий, направленных на развитие национальных культур и национальных</w:t>
            </w:r>
            <w:r w:rsidR="00CD7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спортивных традиций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vMerge w:val="restart"/>
          </w:tcPr>
          <w:p w:rsidR="00A961F6" w:rsidRPr="00616354" w:rsidRDefault="00FE071A" w:rsidP="008F4971">
            <w:pPr>
              <w:pStyle w:val="ae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75,5 тыс. рублей управлением по культуре, спорту и социальной политике освоено на организацию первенства Ханты-Мансийского района по национальным видам спорта "Северное многоборье".</w:t>
            </w:r>
          </w:p>
        </w:tc>
      </w:tr>
      <w:tr w:rsidR="000927C0" w:rsidTr="008F4971">
        <w:trPr>
          <w:trHeight w:val="434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 w:rsidP="008F4971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vMerge/>
          </w:tcPr>
          <w:p w:rsidR="00A961F6" w:rsidRDefault="00A96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1375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 w:rsidP="008F4971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органа местного самоуправления Ханты-Мансийский район, в муниципальной газете, социальных сетях администрации Ханты-Мансийского района и подведомственных организаций и учреждений информации, направленной на укрепление межнациональных и межконфессиональных отношений, в том числе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 w:val="restart"/>
          </w:tcPr>
          <w:p w:rsidR="00A961F6" w:rsidRDefault="008F4971" w:rsidP="008F4971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</w:tr>
      <w:tr w:rsidR="000927C0" w:rsidTr="008F4971">
        <w:trPr>
          <w:trHeight w:val="1375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/>
          </w:tcPr>
          <w:p w:rsidR="00A961F6" w:rsidRDefault="00A96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455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«Профилактика экстремизма, обеспечение гражданского единства»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5387" w:type="dxa"/>
            <w:vMerge w:val="restart"/>
          </w:tcPr>
          <w:p w:rsidR="00A961F6" w:rsidRDefault="00C76D68" w:rsidP="008F4971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555" w:rsidRPr="005B255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основному мероприятию </w:t>
            </w:r>
            <w:r w:rsidR="005B255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B2555" w:rsidRPr="005B2555">
              <w:rPr>
                <w:rFonts w:ascii="Times New Roman" w:hAnsi="Times New Roman" w:cs="Times New Roman"/>
                <w:sz w:val="20"/>
                <w:szCs w:val="20"/>
              </w:rPr>
              <w:t xml:space="preserve">на 2024 год </w:t>
            </w:r>
            <w:r w:rsidR="005B255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</w:t>
            </w:r>
            <w:r w:rsidR="005B2555" w:rsidRPr="005B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840,1 тыс. рублей.</w:t>
            </w:r>
            <w:r w:rsidR="005B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отчетную дату освоено 472,4 тыс. рублей. </w:t>
            </w:r>
            <w:r w:rsidR="005B2555" w:rsidRPr="005B2555">
              <w:rPr>
                <w:rFonts w:ascii="Times New Roman" w:hAnsi="Times New Roman" w:cs="Times New Roman"/>
                <w:sz w:val="20"/>
                <w:szCs w:val="20"/>
              </w:rPr>
              <w:t xml:space="preserve">До конца 2024 года </w:t>
            </w:r>
            <w:r w:rsidR="005B255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</w:t>
            </w:r>
            <w:r w:rsidR="005B2555" w:rsidRPr="005B2555">
              <w:rPr>
                <w:rFonts w:ascii="Times New Roman" w:hAnsi="Times New Roman" w:cs="Times New Roman"/>
                <w:sz w:val="20"/>
                <w:szCs w:val="20"/>
              </w:rPr>
              <w:t>100% освоение.</w:t>
            </w:r>
          </w:p>
        </w:tc>
      </w:tr>
      <w:tr w:rsidR="000927C0" w:rsidTr="008F4971">
        <w:trPr>
          <w:trHeight w:val="455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5387" w:type="dxa"/>
            <w:vMerge/>
          </w:tcPr>
          <w:p w:rsidR="00A961F6" w:rsidRDefault="00A961F6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C97" w:rsidTr="008F4971">
        <w:trPr>
          <w:trHeight w:val="800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Вовлечение этнокультурных и общественных объединений, религиозных организаций в деятельность по социальной адаптации мигрантов, развитию межнационального и межконфессионального диалога, противодействию экстремизму, национальной и религиозной нетерпимости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 w:rsidP="00CD7C97">
            <w:pPr>
              <w:jc w:val="center"/>
            </w:pPr>
            <w:r w:rsidRPr="009A74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 w:rsidP="00CD7C97">
            <w:pPr>
              <w:jc w:val="center"/>
            </w:pPr>
            <w:r w:rsidRPr="009A74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 w:val="restart"/>
          </w:tcPr>
          <w:p w:rsidR="00CD7C97" w:rsidRDefault="008F4971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</w:tr>
      <w:tr w:rsidR="00CD7C97" w:rsidTr="008F4971">
        <w:trPr>
          <w:trHeight w:val="800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 w:rsidP="00CD7C97">
            <w:pPr>
              <w:jc w:val="center"/>
            </w:pPr>
            <w:r w:rsidRPr="009A74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C97" w:rsidRDefault="00CD7C97" w:rsidP="00CD7C97">
            <w:pPr>
              <w:jc w:val="center"/>
            </w:pPr>
            <w:r w:rsidRPr="009A74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/>
          </w:tcPr>
          <w:p w:rsidR="00CD7C97" w:rsidRDefault="00CD7C97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1173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мероприятий, направленных на развитие межкультурных коммуникаций и профилактику экстремизма в молодежной среде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 w:rsidP="009B5E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B0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387" w:type="dxa"/>
            <w:vMerge w:val="restart"/>
          </w:tcPr>
          <w:p w:rsidR="00F5695F" w:rsidRDefault="00F5695F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отчетную дату комитетом по образованию освоено 16,2 тыс. рулей, денежные средства направлены на приобретение наградной продукции для участников форума социальной активности «Многообразием едины».</w:t>
            </w:r>
            <w:r w:rsidR="00000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633" w:rsidRPr="00FE147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форума запланировано до конца октября </w:t>
            </w:r>
            <w:r w:rsidR="00BD1101" w:rsidRPr="00FE1474">
              <w:rPr>
                <w:rFonts w:ascii="Times New Roman" w:hAnsi="Times New Roman" w:cs="Times New Roman"/>
                <w:sz w:val="20"/>
                <w:szCs w:val="20"/>
              </w:rPr>
              <w:t xml:space="preserve">2024 года </w:t>
            </w:r>
            <w:r w:rsidR="00000633" w:rsidRPr="00FE1474">
              <w:rPr>
                <w:rFonts w:ascii="Times New Roman" w:hAnsi="Times New Roman" w:cs="Times New Roman"/>
                <w:sz w:val="20"/>
                <w:szCs w:val="20"/>
              </w:rPr>
              <w:t xml:space="preserve">с освоением денежных средств в размере </w:t>
            </w:r>
            <w:r w:rsidR="00FE1474">
              <w:rPr>
                <w:rFonts w:ascii="Times New Roman" w:hAnsi="Times New Roman" w:cs="Times New Roman"/>
                <w:sz w:val="20"/>
                <w:szCs w:val="20"/>
              </w:rPr>
              <w:t>265,7</w:t>
            </w:r>
            <w:r w:rsidR="00000633" w:rsidRPr="00FE1474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рублей.</w:t>
            </w:r>
          </w:p>
          <w:p w:rsidR="00BD1101" w:rsidRDefault="00000633" w:rsidP="00FE1474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1</w:t>
            </w:r>
            <w:r w:rsidR="00FE1474">
              <w:rPr>
                <w:rFonts w:ascii="Times New Roman" w:hAnsi="Times New Roman" w:cs="Times New Roman"/>
                <w:sz w:val="20"/>
                <w:szCs w:val="20"/>
              </w:rPr>
              <w:t>02,0</w:t>
            </w:r>
            <w:r w:rsidR="004F7DA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101">
              <w:rPr>
                <w:rFonts w:ascii="Times New Roman" w:hAnsi="Times New Roman" w:cs="Times New Roman"/>
                <w:sz w:val="20"/>
                <w:szCs w:val="20"/>
              </w:rPr>
              <w:t xml:space="preserve">комитетом по образованию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запланировано в ноябре </w:t>
            </w:r>
            <w:r w:rsidR="00BD1101">
              <w:rPr>
                <w:rFonts w:ascii="Times New Roman" w:hAnsi="Times New Roman" w:cs="Times New Roman"/>
                <w:sz w:val="20"/>
                <w:szCs w:val="20"/>
              </w:rPr>
              <w:t xml:space="preserve">2024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мероприятия «Самый дружный ИнтерКласс»</w:t>
            </w:r>
            <w:r w:rsidR="00BD1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27C0" w:rsidTr="008F4971">
        <w:trPr>
          <w:trHeight w:val="1173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A961F6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2C2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76D68">
              <w:rPr>
                <w:rFonts w:ascii="Times New Roman" w:hAnsi="Times New Roman" w:cs="Times New Roman"/>
                <w:sz w:val="20"/>
                <w:szCs w:val="20"/>
              </w:rPr>
              <w:t xml:space="preserve">юджет </w:t>
            </w:r>
            <w:r w:rsidR="00474C1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D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101" w:rsidRDefault="00B05C17" w:rsidP="00BD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387" w:type="dxa"/>
            <w:vMerge/>
          </w:tcPr>
          <w:p w:rsidR="00A961F6" w:rsidRDefault="00A961F6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7C0" w:rsidTr="008F4971">
        <w:trPr>
          <w:trHeight w:val="915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64" w:rsidRDefault="004F2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64" w:rsidRDefault="004F2364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64" w:rsidRDefault="004F2364" w:rsidP="00EF5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64" w:rsidRDefault="00802EB0" w:rsidP="0080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64" w:rsidRDefault="00B05C17" w:rsidP="009B5E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64" w:rsidRDefault="00B0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vMerge w:val="restart"/>
          </w:tcPr>
          <w:p w:rsidR="004F2364" w:rsidRDefault="00BD1101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отчетную дату освоение 100%.</w:t>
            </w:r>
          </w:p>
          <w:p w:rsidR="00BD1101" w:rsidRDefault="00BD1101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Управлением по культуре, спорту и социальной политике организовано:</w:t>
            </w:r>
          </w:p>
          <w:p w:rsidR="00BD1101" w:rsidRDefault="00BD1101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национального праздника «Сабантуй» с освоением денежных </w:t>
            </w:r>
            <w:r w:rsidR="00017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017D8B">
              <w:rPr>
                <w:rFonts w:ascii="Times New Roman" w:hAnsi="Times New Roman" w:cs="Times New Roman"/>
                <w:sz w:val="20"/>
                <w:szCs w:val="20"/>
              </w:rPr>
              <w:t>2 тыс. рублей;</w:t>
            </w:r>
          </w:p>
          <w:p w:rsidR="004F2364" w:rsidRDefault="00017D8B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7D8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районного фестиваля культурных традиций Коренных Народов Севера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освоение денежных средств </w:t>
            </w:r>
            <w:r w:rsidRPr="00017D8B">
              <w:rPr>
                <w:rFonts w:ascii="Times New Roman" w:hAnsi="Times New Roman" w:cs="Times New Roman"/>
                <w:sz w:val="20"/>
                <w:szCs w:val="20"/>
              </w:rPr>
              <w:t xml:space="preserve"> 196,0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ыс. рублей</w:t>
            </w:r>
            <w:r w:rsidRPr="00017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5C17" w:rsidTr="008F4971">
        <w:trPr>
          <w:trHeight w:val="915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6B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4F2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CF68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456,2</w:t>
            </w:r>
          </w:p>
          <w:p w:rsidR="00B05C17" w:rsidRDefault="00B05C17" w:rsidP="00120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CF68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CF68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vMerge/>
          </w:tcPr>
          <w:p w:rsidR="00B05C17" w:rsidRDefault="00B05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17" w:rsidTr="008F4971">
        <w:trPr>
          <w:trHeight w:val="20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Развитие российского казачества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850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850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 w:val="restart"/>
          </w:tcPr>
          <w:p w:rsidR="008F4971" w:rsidRPr="008F4971" w:rsidRDefault="008F4971" w:rsidP="008F4971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4971">
              <w:rPr>
                <w:rFonts w:ascii="Times New Roman" w:hAnsi="Times New Roman" w:cs="Times New Roman"/>
                <w:sz w:val="20"/>
                <w:szCs w:val="20"/>
              </w:rPr>
              <w:t>Финансирование по основному мероприятию 3 на 2024 год не предусмотрено.</w:t>
            </w:r>
          </w:p>
          <w:p w:rsidR="00B05C17" w:rsidRPr="008F4971" w:rsidRDefault="00B05C17" w:rsidP="008F4971">
            <w:pPr>
              <w:pStyle w:val="TableParagraph"/>
              <w:ind w:left="142" w:right="142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8F4971" w:rsidRPr="008F4971" w:rsidRDefault="008F4971" w:rsidP="008F4971">
            <w:pPr>
              <w:pStyle w:val="TableParagraph"/>
              <w:ind w:left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8F4971" w:rsidRPr="008F4971" w:rsidRDefault="008F4971" w:rsidP="008F4971">
            <w:pPr>
              <w:pStyle w:val="TableParagraph"/>
              <w:ind w:left="0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</w:tr>
      <w:tr w:rsidR="00B05C17" w:rsidTr="008F4971">
        <w:trPr>
          <w:trHeight w:val="20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8F4971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850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850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/>
          </w:tcPr>
          <w:p w:rsidR="00B05C17" w:rsidRDefault="00B05C17" w:rsidP="00625C44">
            <w:pPr>
              <w:pStyle w:val="TableParagraph"/>
              <w:ind w:left="0" w:firstLine="319"/>
              <w:jc w:val="both"/>
              <w:rPr>
                <w:sz w:val="20"/>
                <w:szCs w:val="20"/>
              </w:rPr>
            </w:pPr>
          </w:p>
        </w:tc>
      </w:tr>
      <w:tr w:rsidR="00B05C17" w:rsidTr="008F4971">
        <w:trPr>
          <w:trHeight w:val="20"/>
        </w:trPr>
        <w:tc>
          <w:tcPr>
            <w:tcW w:w="4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8F4971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участия российского казачества в воспитании подрастающего поколения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120A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120A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/>
          </w:tcPr>
          <w:p w:rsidR="00B05C17" w:rsidRDefault="00B05C17">
            <w:pPr>
              <w:pStyle w:val="TableParagraph"/>
              <w:ind w:left="0" w:firstLine="319"/>
              <w:jc w:val="both"/>
              <w:rPr>
                <w:sz w:val="20"/>
                <w:szCs w:val="20"/>
              </w:rPr>
            </w:pPr>
          </w:p>
        </w:tc>
      </w:tr>
      <w:tr w:rsidR="00B05C17" w:rsidTr="008F4971">
        <w:trPr>
          <w:trHeight w:val="20"/>
        </w:trPr>
        <w:tc>
          <w:tcPr>
            <w:tcW w:w="4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120A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17" w:rsidRDefault="00B05C17" w:rsidP="00B05C17">
            <w:pPr>
              <w:jc w:val="center"/>
            </w:pPr>
            <w:r w:rsidRPr="00120A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87" w:type="dxa"/>
            <w:vMerge/>
          </w:tcPr>
          <w:p w:rsidR="00B05C17" w:rsidRDefault="00B05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218" w:rsidTr="008F4971">
        <w:trPr>
          <w:trHeight w:val="20"/>
        </w:trPr>
        <w:tc>
          <w:tcPr>
            <w:tcW w:w="497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Pr="003C5C09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5C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Pr="003C5C09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5C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647,4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Pr="003C5C09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5C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49,9</w:t>
            </w:r>
            <w:bookmarkStart w:id="0" w:name="_GoBack"/>
            <w:bookmarkEnd w:id="0"/>
          </w:p>
        </w:tc>
        <w:tc>
          <w:tcPr>
            <w:tcW w:w="5387" w:type="dxa"/>
            <w:vMerge w:val="restart"/>
          </w:tcPr>
          <w:p w:rsidR="00457218" w:rsidRDefault="00457218" w:rsidP="00457218">
            <w:pPr>
              <w:spacing w:after="0" w:line="240" w:lineRule="auto"/>
            </w:pPr>
          </w:p>
        </w:tc>
      </w:tr>
      <w:tr w:rsidR="00457218" w:rsidTr="008F4971">
        <w:trPr>
          <w:trHeight w:val="251"/>
        </w:trPr>
        <w:tc>
          <w:tcPr>
            <w:tcW w:w="497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5387" w:type="dxa"/>
            <w:vMerge/>
          </w:tcPr>
          <w:p w:rsidR="00457218" w:rsidRDefault="00457218" w:rsidP="00457218">
            <w:pPr>
              <w:spacing w:after="0" w:line="240" w:lineRule="auto"/>
            </w:pPr>
          </w:p>
        </w:tc>
      </w:tr>
      <w:tr w:rsidR="00457218" w:rsidTr="008F4971">
        <w:trPr>
          <w:trHeight w:val="64"/>
        </w:trPr>
        <w:tc>
          <w:tcPr>
            <w:tcW w:w="497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spacing w:after="0" w:line="240" w:lineRule="auto"/>
              <w:jc w:val="center"/>
            </w:pPr>
          </w:p>
        </w:tc>
        <w:tc>
          <w:tcPr>
            <w:tcW w:w="5387" w:type="dxa"/>
            <w:vMerge/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218" w:rsidTr="008F4971">
        <w:trPr>
          <w:trHeight w:val="20"/>
        </w:trPr>
        <w:tc>
          <w:tcPr>
            <w:tcW w:w="497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5387" w:type="dxa"/>
            <w:vMerge/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218" w:rsidTr="008F4971">
        <w:trPr>
          <w:trHeight w:val="1150"/>
        </w:trPr>
        <w:tc>
          <w:tcPr>
            <w:tcW w:w="497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 на субсидии, передаваемые СОНКО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A52F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vMerge/>
          </w:tcPr>
          <w:p w:rsidR="00457218" w:rsidRDefault="00457218" w:rsidP="00457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1F6" w:rsidRDefault="00C76D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bidi="ru-RU"/>
        </w:rPr>
        <w:t>&lt;*&gt;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указываются только те проекты и основные мероприятия, финансирование по которым предусмотрено в отчетном периоде;</w:t>
      </w:r>
    </w:p>
    <w:p w:rsidR="00A961F6" w:rsidRDefault="00C76D68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bidi="ru-RU"/>
        </w:rPr>
        <w:t>&lt;**&gt;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причины неисполнения указываются за 1 квартал – менее 20%; за полугодие – менее 45%; за 9 месяцев – </w:t>
      </w:r>
      <w:r w:rsidR="002F5620">
        <w:rPr>
          <w:rFonts w:ascii="Times New Roman" w:eastAsia="Calibri" w:hAnsi="Times New Roman" w:cs="Times New Roman"/>
          <w:sz w:val="20"/>
          <w:szCs w:val="20"/>
        </w:rPr>
        <w:t>менее 70%; за год – менее 98%.»</w:t>
      </w:r>
    </w:p>
    <w:p w:rsidR="002F5620" w:rsidRDefault="002F5620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5620" w:rsidRDefault="002F5620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5620" w:rsidRDefault="002F5620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5620" w:rsidRDefault="002F5620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5620" w:rsidRDefault="002F5620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5620" w:rsidRDefault="002F5620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05153" w:rsidRDefault="00805153" w:rsidP="002F562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20" w:rsidRDefault="002F5620" w:rsidP="002F5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61F6" w:rsidRDefault="00A961F6" w:rsidP="00AB0A13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0"/>
        </w:rPr>
      </w:pPr>
    </w:p>
    <w:sectPr w:rsidR="00A961F6" w:rsidSect="00460AF5">
      <w:pgSz w:w="16838" w:h="11906" w:orient="landscape"/>
      <w:pgMar w:top="993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E6" w:rsidRDefault="003712E6">
      <w:pPr>
        <w:spacing w:line="240" w:lineRule="auto"/>
      </w:pPr>
      <w:r>
        <w:separator/>
      </w:r>
    </w:p>
  </w:endnote>
  <w:endnote w:type="continuationSeparator" w:id="0">
    <w:p w:rsidR="003712E6" w:rsidRDefault="00371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E6" w:rsidRDefault="003712E6">
      <w:pPr>
        <w:spacing w:after="0"/>
      </w:pPr>
      <w:r>
        <w:separator/>
      </w:r>
    </w:p>
  </w:footnote>
  <w:footnote w:type="continuationSeparator" w:id="0">
    <w:p w:rsidR="003712E6" w:rsidRDefault="003712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633"/>
    <w:rsid w:val="00012153"/>
    <w:rsid w:val="00013B35"/>
    <w:rsid w:val="00017D8B"/>
    <w:rsid w:val="000246A7"/>
    <w:rsid w:val="00032C9D"/>
    <w:rsid w:val="000553F6"/>
    <w:rsid w:val="0008661D"/>
    <w:rsid w:val="000927C0"/>
    <w:rsid w:val="00092B30"/>
    <w:rsid w:val="0009485B"/>
    <w:rsid w:val="00094C89"/>
    <w:rsid w:val="000A20DE"/>
    <w:rsid w:val="000B30E4"/>
    <w:rsid w:val="000B4C48"/>
    <w:rsid w:val="000B6BD3"/>
    <w:rsid w:val="000C6C97"/>
    <w:rsid w:val="000E2AD9"/>
    <w:rsid w:val="000E5015"/>
    <w:rsid w:val="000F242D"/>
    <w:rsid w:val="001109EF"/>
    <w:rsid w:val="00113D3B"/>
    <w:rsid w:val="001238CC"/>
    <w:rsid w:val="001356B4"/>
    <w:rsid w:val="00150967"/>
    <w:rsid w:val="0016782A"/>
    <w:rsid w:val="00167936"/>
    <w:rsid w:val="00182B80"/>
    <w:rsid w:val="001847D2"/>
    <w:rsid w:val="0018600B"/>
    <w:rsid w:val="001866B1"/>
    <w:rsid w:val="00186A59"/>
    <w:rsid w:val="001C5C3F"/>
    <w:rsid w:val="00217A57"/>
    <w:rsid w:val="002222D8"/>
    <w:rsid w:val="00225C7D"/>
    <w:rsid w:val="002300FD"/>
    <w:rsid w:val="00234040"/>
    <w:rsid w:val="002529F0"/>
    <w:rsid w:val="00261D49"/>
    <w:rsid w:val="00292762"/>
    <w:rsid w:val="00297941"/>
    <w:rsid w:val="00297A80"/>
    <w:rsid w:val="002A0312"/>
    <w:rsid w:val="002A65D2"/>
    <w:rsid w:val="002A75A0"/>
    <w:rsid w:val="002C2C97"/>
    <w:rsid w:val="002D0994"/>
    <w:rsid w:val="002D57E5"/>
    <w:rsid w:val="002F5620"/>
    <w:rsid w:val="00301280"/>
    <w:rsid w:val="00312A0B"/>
    <w:rsid w:val="00313614"/>
    <w:rsid w:val="00330F3F"/>
    <w:rsid w:val="00343482"/>
    <w:rsid w:val="00343BF0"/>
    <w:rsid w:val="00343FF5"/>
    <w:rsid w:val="003624D8"/>
    <w:rsid w:val="003712E6"/>
    <w:rsid w:val="00390D9B"/>
    <w:rsid w:val="00393DAD"/>
    <w:rsid w:val="00397EFC"/>
    <w:rsid w:val="003B4F19"/>
    <w:rsid w:val="003C5C09"/>
    <w:rsid w:val="003F2416"/>
    <w:rsid w:val="003F3603"/>
    <w:rsid w:val="003F693A"/>
    <w:rsid w:val="00404BE7"/>
    <w:rsid w:val="00417101"/>
    <w:rsid w:val="00420987"/>
    <w:rsid w:val="00422070"/>
    <w:rsid w:val="00422CAC"/>
    <w:rsid w:val="0042545C"/>
    <w:rsid w:val="00431272"/>
    <w:rsid w:val="004324F5"/>
    <w:rsid w:val="004333EE"/>
    <w:rsid w:val="00436491"/>
    <w:rsid w:val="0044500A"/>
    <w:rsid w:val="00457218"/>
    <w:rsid w:val="00460AF5"/>
    <w:rsid w:val="00465FC6"/>
    <w:rsid w:val="00474C13"/>
    <w:rsid w:val="00493879"/>
    <w:rsid w:val="004B28BF"/>
    <w:rsid w:val="004B5C06"/>
    <w:rsid w:val="004B7EEC"/>
    <w:rsid w:val="004C069C"/>
    <w:rsid w:val="004C7125"/>
    <w:rsid w:val="004C7DD6"/>
    <w:rsid w:val="004E2269"/>
    <w:rsid w:val="004F22B1"/>
    <w:rsid w:val="004F2364"/>
    <w:rsid w:val="004F72DA"/>
    <w:rsid w:val="004F7CDE"/>
    <w:rsid w:val="004F7DA5"/>
    <w:rsid w:val="0051516C"/>
    <w:rsid w:val="00520BBB"/>
    <w:rsid w:val="0053127B"/>
    <w:rsid w:val="00532CA8"/>
    <w:rsid w:val="005439BD"/>
    <w:rsid w:val="0056694C"/>
    <w:rsid w:val="00571862"/>
    <w:rsid w:val="00572453"/>
    <w:rsid w:val="00590A17"/>
    <w:rsid w:val="0059224E"/>
    <w:rsid w:val="00592635"/>
    <w:rsid w:val="005938BF"/>
    <w:rsid w:val="005A66B0"/>
    <w:rsid w:val="005B2555"/>
    <w:rsid w:val="005B2935"/>
    <w:rsid w:val="005B7083"/>
    <w:rsid w:val="005C1F2C"/>
    <w:rsid w:val="005C4C37"/>
    <w:rsid w:val="005D5109"/>
    <w:rsid w:val="005F0864"/>
    <w:rsid w:val="005F3DD0"/>
    <w:rsid w:val="005F76D7"/>
    <w:rsid w:val="0060061F"/>
    <w:rsid w:val="00601190"/>
    <w:rsid w:val="00612AA6"/>
    <w:rsid w:val="0061635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81CBF"/>
    <w:rsid w:val="00684702"/>
    <w:rsid w:val="006A5B30"/>
    <w:rsid w:val="006B1282"/>
    <w:rsid w:val="006B17EC"/>
    <w:rsid w:val="006B3033"/>
    <w:rsid w:val="006B5266"/>
    <w:rsid w:val="006C37AF"/>
    <w:rsid w:val="006C6EC8"/>
    <w:rsid w:val="006C77B8"/>
    <w:rsid w:val="006D18AE"/>
    <w:rsid w:val="006D1EA0"/>
    <w:rsid w:val="006D495B"/>
    <w:rsid w:val="006E27C4"/>
    <w:rsid w:val="006F6A9A"/>
    <w:rsid w:val="006F7FEA"/>
    <w:rsid w:val="00700625"/>
    <w:rsid w:val="007052B1"/>
    <w:rsid w:val="00722C36"/>
    <w:rsid w:val="007343BF"/>
    <w:rsid w:val="00736AE9"/>
    <w:rsid w:val="0074276E"/>
    <w:rsid w:val="007518C2"/>
    <w:rsid w:val="00753B61"/>
    <w:rsid w:val="00772F84"/>
    <w:rsid w:val="0077481C"/>
    <w:rsid w:val="007975CD"/>
    <w:rsid w:val="007A0722"/>
    <w:rsid w:val="007B150E"/>
    <w:rsid w:val="007C5828"/>
    <w:rsid w:val="007D225A"/>
    <w:rsid w:val="007E0A38"/>
    <w:rsid w:val="00802EB0"/>
    <w:rsid w:val="00805153"/>
    <w:rsid w:val="00805A4C"/>
    <w:rsid w:val="00822F9D"/>
    <w:rsid w:val="00827A88"/>
    <w:rsid w:val="00840ABC"/>
    <w:rsid w:val="008411AE"/>
    <w:rsid w:val="008459BB"/>
    <w:rsid w:val="008561DC"/>
    <w:rsid w:val="008566D8"/>
    <w:rsid w:val="008671AE"/>
    <w:rsid w:val="00886731"/>
    <w:rsid w:val="00887852"/>
    <w:rsid w:val="008914E2"/>
    <w:rsid w:val="0089785E"/>
    <w:rsid w:val="00897CB6"/>
    <w:rsid w:val="008B622B"/>
    <w:rsid w:val="008C2ACB"/>
    <w:rsid w:val="008D50E0"/>
    <w:rsid w:val="008D6252"/>
    <w:rsid w:val="008E2506"/>
    <w:rsid w:val="008E4601"/>
    <w:rsid w:val="008F4971"/>
    <w:rsid w:val="00903CF1"/>
    <w:rsid w:val="0091332B"/>
    <w:rsid w:val="00927695"/>
    <w:rsid w:val="009277B7"/>
    <w:rsid w:val="00933810"/>
    <w:rsid w:val="009364B4"/>
    <w:rsid w:val="0093722C"/>
    <w:rsid w:val="0096338B"/>
    <w:rsid w:val="0097117B"/>
    <w:rsid w:val="009917B5"/>
    <w:rsid w:val="009A231B"/>
    <w:rsid w:val="009A6C72"/>
    <w:rsid w:val="009B5E8B"/>
    <w:rsid w:val="009C0855"/>
    <w:rsid w:val="009C1751"/>
    <w:rsid w:val="009C38EA"/>
    <w:rsid w:val="009C6D43"/>
    <w:rsid w:val="009D00C6"/>
    <w:rsid w:val="009D0CDF"/>
    <w:rsid w:val="009F6EC2"/>
    <w:rsid w:val="00A04F53"/>
    <w:rsid w:val="00A14960"/>
    <w:rsid w:val="00A26968"/>
    <w:rsid w:val="00A33D50"/>
    <w:rsid w:val="00A52F88"/>
    <w:rsid w:val="00A653AE"/>
    <w:rsid w:val="00A872A3"/>
    <w:rsid w:val="00A91B96"/>
    <w:rsid w:val="00A91F9B"/>
    <w:rsid w:val="00A961F6"/>
    <w:rsid w:val="00AA219C"/>
    <w:rsid w:val="00AB0A13"/>
    <w:rsid w:val="00AC16A7"/>
    <w:rsid w:val="00AC194A"/>
    <w:rsid w:val="00AD697A"/>
    <w:rsid w:val="00AE0F04"/>
    <w:rsid w:val="00B05C17"/>
    <w:rsid w:val="00B17E67"/>
    <w:rsid w:val="00B2079F"/>
    <w:rsid w:val="00B2259C"/>
    <w:rsid w:val="00B230DD"/>
    <w:rsid w:val="00B45F61"/>
    <w:rsid w:val="00B53A62"/>
    <w:rsid w:val="00B565C3"/>
    <w:rsid w:val="00B626AF"/>
    <w:rsid w:val="00B67F78"/>
    <w:rsid w:val="00B76CD1"/>
    <w:rsid w:val="00B81A2D"/>
    <w:rsid w:val="00BA774C"/>
    <w:rsid w:val="00BB611F"/>
    <w:rsid w:val="00BB6639"/>
    <w:rsid w:val="00BD1101"/>
    <w:rsid w:val="00BE2AF4"/>
    <w:rsid w:val="00BF262A"/>
    <w:rsid w:val="00C002B4"/>
    <w:rsid w:val="00C16253"/>
    <w:rsid w:val="00C21D1F"/>
    <w:rsid w:val="00C239F1"/>
    <w:rsid w:val="00C36F0C"/>
    <w:rsid w:val="00C36F5A"/>
    <w:rsid w:val="00C50639"/>
    <w:rsid w:val="00C51F70"/>
    <w:rsid w:val="00C54088"/>
    <w:rsid w:val="00C6335C"/>
    <w:rsid w:val="00C7412C"/>
    <w:rsid w:val="00C76D68"/>
    <w:rsid w:val="00CA7141"/>
    <w:rsid w:val="00CB049F"/>
    <w:rsid w:val="00CB5AEF"/>
    <w:rsid w:val="00CC7C2A"/>
    <w:rsid w:val="00CD2BF5"/>
    <w:rsid w:val="00CD7C97"/>
    <w:rsid w:val="00CE5D8F"/>
    <w:rsid w:val="00CF3794"/>
    <w:rsid w:val="00CF44D0"/>
    <w:rsid w:val="00CF67B2"/>
    <w:rsid w:val="00CF744D"/>
    <w:rsid w:val="00D007DF"/>
    <w:rsid w:val="00D056D0"/>
    <w:rsid w:val="00D155CC"/>
    <w:rsid w:val="00D20948"/>
    <w:rsid w:val="00D213D8"/>
    <w:rsid w:val="00D26095"/>
    <w:rsid w:val="00D46060"/>
    <w:rsid w:val="00D4701F"/>
    <w:rsid w:val="00D522B8"/>
    <w:rsid w:val="00D53054"/>
    <w:rsid w:val="00D64FB3"/>
    <w:rsid w:val="00D8061E"/>
    <w:rsid w:val="00D84CA5"/>
    <w:rsid w:val="00DA172A"/>
    <w:rsid w:val="00DB032D"/>
    <w:rsid w:val="00DB6A29"/>
    <w:rsid w:val="00DC5CDD"/>
    <w:rsid w:val="00DE12FA"/>
    <w:rsid w:val="00DE139E"/>
    <w:rsid w:val="00DF5D47"/>
    <w:rsid w:val="00E020E1"/>
    <w:rsid w:val="00E024DC"/>
    <w:rsid w:val="00E05238"/>
    <w:rsid w:val="00E05262"/>
    <w:rsid w:val="00E26486"/>
    <w:rsid w:val="00E33308"/>
    <w:rsid w:val="00E35131"/>
    <w:rsid w:val="00E46B63"/>
    <w:rsid w:val="00E516F7"/>
    <w:rsid w:val="00E54FD2"/>
    <w:rsid w:val="00E624C3"/>
    <w:rsid w:val="00E83D6F"/>
    <w:rsid w:val="00E86516"/>
    <w:rsid w:val="00ED01A2"/>
    <w:rsid w:val="00ED123C"/>
    <w:rsid w:val="00EE6380"/>
    <w:rsid w:val="00EF214F"/>
    <w:rsid w:val="00F114E8"/>
    <w:rsid w:val="00F155DA"/>
    <w:rsid w:val="00F262C9"/>
    <w:rsid w:val="00F26987"/>
    <w:rsid w:val="00F35136"/>
    <w:rsid w:val="00F449DF"/>
    <w:rsid w:val="00F51238"/>
    <w:rsid w:val="00F55E37"/>
    <w:rsid w:val="00F5695F"/>
    <w:rsid w:val="00F57B59"/>
    <w:rsid w:val="00F765C7"/>
    <w:rsid w:val="00F76A92"/>
    <w:rsid w:val="00FA4CF5"/>
    <w:rsid w:val="00FB3685"/>
    <w:rsid w:val="00FB7756"/>
    <w:rsid w:val="00FC2C76"/>
    <w:rsid w:val="00FC3FBE"/>
    <w:rsid w:val="00FD315A"/>
    <w:rsid w:val="00FD32D8"/>
    <w:rsid w:val="00FE071A"/>
    <w:rsid w:val="00FE1474"/>
    <w:rsid w:val="00FE367D"/>
    <w:rsid w:val="00FE5E0E"/>
    <w:rsid w:val="00FE71F9"/>
    <w:rsid w:val="036812D9"/>
    <w:rsid w:val="27AA6600"/>
    <w:rsid w:val="31F951FD"/>
    <w:rsid w:val="4FF454E5"/>
    <w:rsid w:val="6CBC71E0"/>
    <w:rsid w:val="7D0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qFormat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Century Gothic" w:eastAsia="Times New Roman" w:hAnsi="Century Gothic" w:cs="Times New Roman"/>
      <w:lang w:val="en-US"/>
    </w:rPr>
  </w:style>
  <w:style w:type="paragraph" w:styleId="ae">
    <w:name w:val="No Spacing"/>
    <w:aliases w:val="Обрнадзор"/>
    <w:link w:val="af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qFormat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f1">
    <w:name w:val="footnote reference"/>
    <w:basedOn w:val="a0"/>
    <w:semiHidden/>
    <w:unhideWhenUsed/>
    <w:qFormat/>
    <w:rsid w:val="002F5620"/>
    <w:rPr>
      <w:vertAlign w:val="superscript"/>
    </w:rPr>
  </w:style>
  <w:style w:type="paragraph" w:styleId="af2">
    <w:name w:val="footnote text"/>
    <w:basedOn w:val="a"/>
    <w:link w:val="af3"/>
    <w:unhideWhenUsed/>
    <w:qFormat/>
    <w:rsid w:val="002F5620"/>
    <w:pPr>
      <w:spacing w:after="0" w:line="240" w:lineRule="auto"/>
    </w:pPr>
    <w:rPr>
      <w:rFonts w:ascii="Calibri" w:eastAsia="Calibri" w:hAnsi="Calibri" w:cs="Times New Roman"/>
      <w:sz w:val="20"/>
      <w:szCs w:val="20"/>
      <w:lang w:val="zh-CN"/>
    </w:rPr>
  </w:style>
  <w:style w:type="character" w:customStyle="1" w:styleId="af3">
    <w:name w:val="Текст сноски Знак"/>
    <w:basedOn w:val="a0"/>
    <w:link w:val="af2"/>
    <w:qFormat/>
    <w:rsid w:val="002F5620"/>
    <w:rPr>
      <w:rFonts w:ascii="Calibri" w:eastAsia="Calibri" w:hAnsi="Calibri"/>
      <w:lang w:val="zh-CN" w:eastAsia="en-US"/>
    </w:rPr>
  </w:style>
  <w:style w:type="character" w:customStyle="1" w:styleId="af">
    <w:name w:val="Без интервала Знак"/>
    <w:aliases w:val="Обрнадзор Знак"/>
    <w:link w:val="ae"/>
    <w:uiPriority w:val="1"/>
    <w:qFormat/>
    <w:locked/>
    <w:rsid w:val="002F56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C83D-1857-4B6D-9B8E-696B2D98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2024-10-16T09:56:00Z</dcterms:created>
  <dcterms:modified xsi:type="dcterms:W3CDTF">2024-10-21T10:09:00Z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A2C979A126794BD78B4FD3327AF66771</vt:lpwstr>
  </property>
</Properties>
</file>