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6C" w:rsidRPr="00D46A69" w:rsidRDefault="00904C5F" w:rsidP="00B725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B7256C" w:rsidRPr="00D46A6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Ханты-Мансийский автономный округ – ЮГРА </w:t>
      </w: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D46A6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Муниципальное образование «Ханты-Мансийский район» </w:t>
      </w:r>
    </w:p>
    <w:p w:rsidR="00B7256C" w:rsidRPr="00D46A69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D46A69">
        <w:rPr>
          <w:rFonts w:ascii="Times New Roman" w:eastAsia="Times New Roman" w:hAnsi="Times New Roman"/>
          <w:b/>
          <w:sz w:val="48"/>
          <w:szCs w:val="48"/>
          <w:lang w:eastAsia="ru-RU"/>
        </w:rPr>
        <w:t>Доклад</w:t>
      </w: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spellStart"/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>Минулина</w:t>
      </w:r>
      <w:proofErr w:type="spellEnd"/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Кирилла </w:t>
      </w:r>
      <w:proofErr w:type="spellStart"/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>Равильевича</w:t>
      </w:r>
      <w:proofErr w:type="spellEnd"/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>,</w:t>
      </w: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>главы Ханты-Мансийского района</w:t>
      </w: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 достигнутых значениях показателей </w:t>
      </w: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для оценки эффективности деятельности органов местного самоуправления муниципального образования </w:t>
      </w:r>
      <w:r w:rsidR="003A696C">
        <w:rPr>
          <w:rFonts w:ascii="Times New Roman" w:eastAsia="Times New Roman" w:hAnsi="Times New Roman"/>
          <w:b/>
          <w:sz w:val="36"/>
          <w:szCs w:val="36"/>
          <w:lang w:eastAsia="ru-RU"/>
        </w:rPr>
        <w:t>«Ханты-Мансийский район» за 2021</w:t>
      </w:r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 </w:t>
      </w: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и планируемых </w:t>
      </w:r>
      <w:proofErr w:type="gramStart"/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>значениях</w:t>
      </w:r>
      <w:proofErr w:type="gramEnd"/>
      <w:r w:rsidRPr="00D46A6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на 3-летний период</w:t>
      </w:r>
    </w:p>
    <w:p w:rsidR="00B7256C" w:rsidRPr="00D46A69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7256C" w:rsidRPr="00D46A69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A69">
        <w:rPr>
          <w:rFonts w:ascii="Times New Roman" w:eastAsia="Times New Roman" w:hAnsi="Times New Roman"/>
          <w:sz w:val="28"/>
          <w:szCs w:val="28"/>
          <w:lang w:eastAsia="ru-RU"/>
        </w:rPr>
        <w:t>Подпись__________________________</w:t>
      </w: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3A69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«29» апреля 2022</w:t>
      </w:r>
      <w:r w:rsidR="00B7256C" w:rsidRPr="00D46A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56C" w:rsidRPr="00D46A69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A69">
        <w:rPr>
          <w:rFonts w:ascii="Times New Roman" w:eastAsia="Times New Roman" w:hAnsi="Times New Roman"/>
          <w:sz w:val="28"/>
          <w:szCs w:val="28"/>
          <w:lang w:eastAsia="ru-RU"/>
        </w:rPr>
        <w:t>г. Ханты-Мансийск</w:t>
      </w:r>
    </w:p>
    <w:p w:rsidR="00845416" w:rsidRPr="00D46A69" w:rsidRDefault="00845416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7256C" w:rsidRPr="009405F1" w:rsidRDefault="00B7256C" w:rsidP="00B725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5F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ОГЛАВЛЕНИЕ</w:t>
      </w:r>
    </w:p>
    <w:p w:rsidR="00B7256C" w:rsidRPr="009405F1" w:rsidRDefault="00B7256C" w:rsidP="00B72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otted" w:sz="2" w:space="0" w:color="E8E8E8"/>
          <w:left w:val="dotted" w:sz="2" w:space="0" w:color="E8E8E8"/>
          <w:bottom w:val="dotted" w:sz="2" w:space="0" w:color="E8E8E8"/>
          <w:right w:val="dotted" w:sz="2" w:space="0" w:color="E8E8E8"/>
          <w:insideH w:val="dotted" w:sz="2" w:space="0" w:color="E8E8E8"/>
          <w:insideV w:val="dotted" w:sz="2" w:space="0" w:color="E8E8E8"/>
        </w:tblBorders>
        <w:tblLook w:val="0000" w:firstRow="0" w:lastRow="0" w:firstColumn="0" w:lastColumn="0" w:noHBand="0" w:noVBand="0"/>
      </w:tblPr>
      <w:tblGrid>
        <w:gridCol w:w="893"/>
        <w:gridCol w:w="697"/>
        <w:gridCol w:w="7235"/>
        <w:gridCol w:w="462"/>
      </w:tblGrid>
      <w:tr w:rsidR="009405F1" w:rsidRPr="009405F1" w:rsidTr="006212C5">
        <w:trPr>
          <w:trHeight w:val="360"/>
        </w:trPr>
        <w:tc>
          <w:tcPr>
            <w:tcW w:w="4751" w:type="pct"/>
            <w:gridSpan w:val="3"/>
          </w:tcPr>
          <w:p w:rsidR="00B7256C" w:rsidRPr="009405F1" w:rsidRDefault="00B7256C" w:rsidP="00B7256C">
            <w:pPr>
              <w:shd w:val="clear" w:color="auto" w:fill="FFFFFF"/>
              <w:tabs>
                <w:tab w:val="left" w:pos="11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Основные итоги социально</w:t>
            </w: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40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экономического развития </w:t>
            </w:r>
            <w:r w:rsidR="009405F1" w:rsidRPr="00940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Ханты-мансийского района за 2021</w:t>
            </w:r>
            <w:r w:rsidRPr="00940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………………………………………………………. </w:t>
            </w:r>
          </w:p>
        </w:tc>
        <w:tc>
          <w:tcPr>
            <w:tcW w:w="249" w:type="pct"/>
            <w:vAlign w:val="bottom"/>
          </w:tcPr>
          <w:p w:rsidR="00B7256C" w:rsidRPr="00AD0609" w:rsidRDefault="00AD0609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405F1" w:rsidRPr="009405F1" w:rsidTr="006212C5">
        <w:trPr>
          <w:trHeight w:val="340"/>
        </w:trPr>
        <w:tc>
          <w:tcPr>
            <w:tcW w:w="481" w:type="pct"/>
          </w:tcPr>
          <w:p w:rsidR="00B7256C" w:rsidRPr="009405F1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9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Демографическая ситуация …………………………………………….</w:t>
            </w:r>
          </w:p>
        </w:tc>
        <w:tc>
          <w:tcPr>
            <w:tcW w:w="249" w:type="pct"/>
            <w:vAlign w:val="bottom"/>
          </w:tcPr>
          <w:p w:rsidR="00B7256C" w:rsidRPr="00AD0609" w:rsidRDefault="00AD0609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405F1" w:rsidRPr="009405F1" w:rsidTr="006212C5">
        <w:trPr>
          <w:trHeight w:val="340"/>
        </w:trPr>
        <w:tc>
          <w:tcPr>
            <w:tcW w:w="481" w:type="pct"/>
          </w:tcPr>
          <w:p w:rsidR="00B7256C" w:rsidRPr="009405F1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9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Промышленность …………………………………………..…………..</w:t>
            </w:r>
          </w:p>
        </w:tc>
        <w:tc>
          <w:tcPr>
            <w:tcW w:w="249" w:type="pct"/>
            <w:vAlign w:val="bottom"/>
          </w:tcPr>
          <w:p w:rsidR="00B7256C" w:rsidRPr="00AD0609" w:rsidRDefault="00AD0609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05F1" w:rsidRPr="009405F1" w:rsidTr="006212C5">
        <w:trPr>
          <w:trHeight w:val="340"/>
        </w:trPr>
        <w:tc>
          <w:tcPr>
            <w:tcW w:w="481" w:type="pct"/>
          </w:tcPr>
          <w:p w:rsidR="00B7256C" w:rsidRPr="009405F1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9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Инвестиции ………………………………………………...……………</w:t>
            </w:r>
          </w:p>
        </w:tc>
        <w:tc>
          <w:tcPr>
            <w:tcW w:w="249" w:type="pct"/>
            <w:vAlign w:val="bottom"/>
          </w:tcPr>
          <w:p w:rsidR="00B7256C" w:rsidRPr="00AD0609" w:rsidRDefault="00AD0609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405F1" w:rsidRPr="009405F1" w:rsidTr="006212C5">
        <w:trPr>
          <w:trHeight w:val="340"/>
        </w:trPr>
        <w:tc>
          <w:tcPr>
            <w:tcW w:w="481" w:type="pct"/>
          </w:tcPr>
          <w:p w:rsidR="00B7256C" w:rsidRPr="009405F1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9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Занятость населения ……………………………………………………</w:t>
            </w:r>
          </w:p>
        </w:tc>
        <w:tc>
          <w:tcPr>
            <w:tcW w:w="249" w:type="pct"/>
            <w:vAlign w:val="bottom"/>
          </w:tcPr>
          <w:p w:rsidR="00B7256C" w:rsidRPr="00AD0609" w:rsidRDefault="00AD0609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405F1" w:rsidRPr="009405F1" w:rsidTr="006212C5">
        <w:trPr>
          <w:trHeight w:val="340"/>
        </w:trPr>
        <w:tc>
          <w:tcPr>
            <w:tcW w:w="481" w:type="pct"/>
          </w:tcPr>
          <w:p w:rsidR="00B7256C" w:rsidRPr="009405F1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9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доходы и расходы населения</w:t>
            </w:r>
            <w:proofErr w:type="gramStart"/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..…………….………………</w:t>
            </w:r>
            <w:proofErr w:type="gramEnd"/>
          </w:p>
        </w:tc>
        <w:tc>
          <w:tcPr>
            <w:tcW w:w="249" w:type="pct"/>
            <w:vAlign w:val="bottom"/>
          </w:tcPr>
          <w:p w:rsidR="00B7256C" w:rsidRPr="00AD0609" w:rsidRDefault="00AD0609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405F1" w:rsidRPr="009405F1" w:rsidTr="006212C5">
        <w:trPr>
          <w:trHeight w:val="340"/>
        </w:trPr>
        <w:tc>
          <w:tcPr>
            <w:tcW w:w="481" w:type="pct"/>
          </w:tcPr>
          <w:p w:rsidR="00B7256C" w:rsidRPr="009405F1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9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Потребительский рынок………………………..………….……………</w:t>
            </w:r>
          </w:p>
        </w:tc>
        <w:tc>
          <w:tcPr>
            <w:tcW w:w="249" w:type="pct"/>
            <w:vAlign w:val="bottom"/>
          </w:tcPr>
          <w:p w:rsidR="00B7256C" w:rsidRPr="00AD0609" w:rsidRDefault="00AD0609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05F1" w:rsidRPr="009405F1" w:rsidTr="006212C5">
        <w:trPr>
          <w:trHeight w:val="340"/>
        </w:trPr>
        <w:tc>
          <w:tcPr>
            <w:tcW w:w="481" w:type="pct"/>
          </w:tcPr>
          <w:p w:rsidR="00B7256C" w:rsidRPr="009405F1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89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Криминогенная обстановка</w:t>
            </w:r>
            <w:proofErr w:type="gramEnd"/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…………………………………………….</w:t>
            </w:r>
          </w:p>
        </w:tc>
        <w:tc>
          <w:tcPr>
            <w:tcW w:w="249" w:type="pct"/>
            <w:vAlign w:val="bottom"/>
          </w:tcPr>
          <w:p w:rsidR="00B7256C" w:rsidRPr="00AD0609" w:rsidRDefault="00AD0609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405F1" w:rsidRPr="009405F1" w:rsidTr="006212C5">
        <w:trPr>
          <w:trHeight w:val="340"/>
        </w:trPr>
        <w:tc>
          <w:tcPr>
            <w:tcW w:w="481" w:type="pct"/>
          </w:tcPr>
          <w:p w:rsidR="00B7256C" w:rsidRPr="009405F1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89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жилищного фонда………………………………………….</w:t>
            </w:r>
          </w:p>
        </w:tc>
        <w:tc>
          <w:tcPr>
            <w:tcW w:w="249" w:type="pct"/>
            <w:vAlign w:val="bottom"/>
          </w:tcPr>
          <w:p w:rsidR="00B7256C" w:rsidRPr="00AD0609" w:rsidRDefault="00AD0609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405F1" w:rsidRPr="009405F1" w:rsidTr="006212C5">
        <w:trPr>
          <w:trHeight w:val="340"/>
        </w:trPr>
        <w:tc>
          <w:tcPr>
            <w:tcW w:w="481" w:type="pct"/>
          </w:tcPr>
          <w:p w:rsidR="00B7256C" w:rsidRPr="009405F1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89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прав граждан и юридических лиц…………………………….</w:t>
            </w:r>
          </w:p>
        </w:tc>
        <w:tc>
          <w:tcPr>
            <w:tcW w:w="249" w:type="pct"/>
            <w:vAlign w:val="bottom"/>
          </w:tcPr>
          <w:p w:rsidR="00B7256C" w:rsidRPr="00AD0609" w:rsidRDefault="00AD0609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405F1" w:rsidRPr="009405F1" w:rsidTr="006212C5">
        <w:trPr>
          <w:trHeight w:val="340"/>
        </w:trPr>
        <w:tc>
          <w:tcPr>
            <w:tcW w:w="481" w:type="pct"/>
          </w:tcPr>
          <w:p w:rsidR="00B7256C" w:rsidRPr="009405F1" w:rsidRDefault="00B7256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895" w:type="pct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платежной дисциплины и </w:t>
            </w:r>
            <w:r w:rsidR="00400918"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инвестиционной</w:t>
            </w: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политики в жилищно-коммунальном комплексе</w:t>
            </w:r>
          </w:p>
        </w:tc>
        <w:tc>
          <w:tcPr>
            <w:tcW w:w="249" w:type="pct"/>
            <w:vAlign w:val="bottom"/>
          </w:tcPr>
          <w:p w:rsidR="00B7256C" w:rsidRPr="00AD0609" w:rsidRDefault="00AD0609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405F1" w:rsidRPr="009405F1" w:rsidTr="006212C5">
        <w:trPr>
          <w:trHeight w:val="340"/>
        </w:trPr>
        <w:tc>
          <w:tcPr>
            <w:tcW w:w="4751" w:type="pct"/>
            <w:gridSpan w:val="3"/>
          </w:tcPr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256C" w:rsidRPr="009405F1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 w:rsidRPr="009405F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Показатели, </w:t>
            </w:r>
            <w:r w:rsidRPr="00940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характеризующие социально-экономическое развитие муниципального образования Ханты-Мансийский район, оценку </w:t>
            </w:r>
            <w:proofErr w:type="gramStart"/>
            <w:r w:rsidRPr="00940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эффективности деятельности органа местного самоуправления муниципального района</w:t>
            </w:r>
            <w:proofErr w:type="gramEnd"/>
            <w:r w:rsidR="00940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2021</w:t>
            </w:r>
            <w:r w:rsidRPr="00940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и их планируемые значения на 3-летний период </w:t>
            </w: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……………………...…………………………………………………………….</w:t>
            </w:r>
          </w:p>
        </w:tc>
        <w:tc>
          <w:tcPr>
            <w:tcW w:w="249" w:type="pct"/>
            <w:vAlign w:val="bottom"/>
          </w:tcPr>
          <w:p w:rsidR="00B7256C" w:rsidRPr="00AD0609" w:rsidRDefault="00AD0609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0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A696C" w:rsidRPr="003A696C" w:rsidTr="006212C5">
        <w:trPr>
          <w:trHeight w:val="340"/>
        </w:trPr>
        <w:tc>
          <w:tcPr>
            <w:tcW w:w="4751" w:type="pct"/>
            <w:gridSpan w:val="3"/>
          </w:tcPr>
          <w:p w:rsidR="00B7256C" w:rsidRPr="003A696C" w:rsidRDefault="00B7256C" w:rsidP="00B7256C">
            <w:pPr>
              <w:shd w:val="clear" w:color="auto" w:fill="FFFFFF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B7256C" w:rsidRPr="009405F1" w:rsidRDefault="00B7256C" w:rsidP="00B7256C">
            <w:pPr>
              <w:shd w:val="clear" w:color="auto" w:fill="FFFFFF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405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</w:t>
            </w:r>
            <w:r w:rsidRPr="0094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.....................................................................</w:t>
            </w:r>
          </w:p>
        </w:tc>
        <w:tc>
          <w:tcPr>
            <w:tcW w:w="249" w:type="pct"/>
            <w:vAlign w:val="bottom"/>
          </w:tcPr>
          <w:p w:rsidR="00B7256C" w:rsidRPr="00AE7DFC" w:rsidRDefault="00AE7DF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3A696C" w:rsidRPr="003A696C" w:rsidTr="006212C5">
        <w:trPr>
          <w:trHeight w:val="340"/>
        </w:trPr>
        <w:tc>
          <w:tcPr>
            <w:tcW w:w="481" w:type="pct"/>
          </w:tcPr>
          <w:p w:rsidR="00B7256C" w:rsidRPr="003A69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750EE2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95" w:type="pct"/>
          </w:tcPr>
          <w:p w:rsidR="00B7256C" w:rsidRPr="00750EE2" w:rsidRDefault="00B7256C" w:rsidP="00B7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</w:t>
            </w:r>
            <w:proofErr w:type="gramStart"/>
            <w:r w:rsidRPr="0075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..….……………..………………………………………………</w:t>
            </w:r>
            <w:proofErr w:type="gramEnd"/>
          </w:p>
        </w:tc>
        <w:tc>
          <w:tcPr>
            <w:tcW w:w="249" w:type="pct"/>
            <w:vAlign w:val="bottom"/>
          </w:tcPr>
          <w:p w:rsidR="00B7256C" w:rsidRPr="00AE7DFC" w:rsidRDefault="00AE7DF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3A696C" w:rsidRPr="003A696C" w:rsidTr="006212C5">
        <w:trPr>
          <w:trHeight w:val="340"/>
        </w:trPr>
        <w:tc>
          <w:tcPr>
            <w:tcW w:w="481" w:type="pct"/>
          </w:tcPr>
          <w:p w:rsidR="00B7256C" w:rsidRPr="003A69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750EE2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95" w:type="pct"/>
          </w:tcPr>
          <w:p w:rsidR="00B7256C" w:rsidRPr="00750EE2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</w:t>
            </w:r>
            <w:proofErr w:type="spellStart"/>
            <w:r w:rsidRPr="0075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медийная</w:t>
            </w:r>
            <w:proofErr w:type="spellEnd"/>
            <w:r w:rsidRPr="0075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(публикации и выступления в СМИ) активность глав городских округов и муниципальных районов автономного округа, работа с населением.……………………….</w:t>
            </w:r>
          </w:p>
        </w:tc>
        <w:tc>
          <w:tcPr>
            <w:tcW w:w="249" w:type="pct"/>
            <w:vAlign w:val="bottom"/>
          </w:tcPr>
          <w:p w:rsidR="00B7256C" w:rsidRPr="00AE7DFC" w:rsidRDefault="00AE7DF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7256C" w:rsidRPr="003A696C" w:rsidTr="006212C5">
        <w:trPr>
          <w:trHeight w:val="340"/>
        </w:trPr>
        <w:tc>
          <w:tcPr>
            <w:tcW w:w="481" w:type="pct"/>
          </w:tcPr>
          <w:p w:rsidR="00B7256C" w:rsidRPr="003A696C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B7256C" w:rsidRPr="00750EE2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95" w:type="pct"/>
          </w:tcPr>
          <w:p w:rsidR="00B7256C" w:rsidRPr="00750EE2" w:rsidRDefault="00B7256C" w:rsidP="00B725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0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социологического опроса населения……………………</w:t>
            </w:r>
            <w:proofErr w:type="gramEnd"/>
          </w:p>
        </w:tc>
        <w:tc>
          <w:tcPr>
            <w:tcW w:w="249" w:type="pct"/>
            <w:vAlign w:val="bottom"/>
          </w:tcPr>
          <w:p w:rsidR="00B7256C" w:rsidRPr="00AE7DFC" w:rsidRDefault="00AE7DFC" w:rsidP="00B725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7256C" w:rsidRPr="003A696C" w:rsidRDefault="00B7256C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7256C" w:rsidRPr="003A696C" w:rsidRDefault="00B7256C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7256C" w:rsidRPr="003A696C" w:rsidRDefault="00B7256C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7256C" w:rsidRPr="003A696C" w:rsidRDefault="00B7256C" w:rsidP="002D3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B7256C" w:rsidRPr="009405F1" w:rsidRDefault="00B7256C" w:rsidP="00B7256C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405F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Раздел 1. Основные итоги социально-экономического развития </w:t>
      </w:r>
      <w:r w:rsidR="009405F1">
        <w:rPr>
          <w:rFonts w:ascii="Times New Roman" w:eastAsia="Times New Roman" w:hAnsi="Times New Roman"/>
          <w:b/>
          <w:sz w:val="24"/>
          <w:szCs w:val="24"/>
        </w:rPr>
        <w:t>Ханты-Мансийского района за 2021</w:t>
      </w:r>
      <w:r w:rsidRPr="009405F1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B7256C" w:rsidRPr="00D46A69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B7256C" w:rsidRPr="00FF5B7E" w:rsidRDefault="00B7256C" w:rsidP="00B7256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F5B7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1.1.Демографическая ситуация</w:t>
      </w:r>
    </w:p>
    <w:p w:rsidR="009405F1" w:rsidRPr="00E54DD7" w:rsidRDefault="009405F1" w:rsidP="009405F1">
      <w:pPr>
        <w:spacing w:after="0" w:line="264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DD7">
        <w:rPr>
          <w:rFonts w:ascii="Times New Roman" w:eastAsia="Times New Roman" w:hAnsi="Times New Roman"/>
          <w:sz w:val="24"/>
          <w:szCs w:val="24"/>
          <w:lang w:eastAsia="ru-RU"/>
        </w:rPr>
        <w:t>По предварительным данным, численность населен</w:t>
      </w:r>
      <w:r w:rsidR="00E54DD7" w:rsidRPr="00E54DD7">
        <w:rPr>
          <w:rFonts w:ascii="Times New Roman" w:eastAsia="Times New Roman" w:hAnsi="Times New Roman"/>
          <w:sz w:val="24"/>
          <w:szCs w:val="24"/>
          <w:lang w:eastAsia="ru-RU"/>
        </w:rPr>
        <w:t>ия по состоянию на 1 января 2022</w:t>
      </w:r>
      <w:r w:rsidRPr="00E54DD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составила 19 </w:t>
      </w:r>
      <w:r w:rsidR="00E54DD7" w:rsidRPr="00E54DD7">
        <w:rPr>
          <w:rFonts w:ascii="Times New Roman" w:eastAsia="Times New Roman" w:hAnsi="Times New Roman"/>
          <w:sz w:val="24"/>
          <w:szCs w:val="24"/>
          <w:lang w:eastAsia="ru-RU"/>
        </w:rPr>
        <w:t>276</w:t>
      </w:r>
      <w:r w:rsidRPr="00E54DD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Среднегодовая численность постоянно проживающего населения на те</w:t>
      </w:r>
      <w:r w:rsidR="002124A9">
        <w:rPr>
          <w:rFonts w:ascii="Times New Roman" w:eastAsia="Times New Roman" w:hAnsi="Times New Roman"/>
          <w:sz w:val="24"/>
          <w:szCs w:val="24"/>
          <w:lang w:eastAsia="ru-RU"/>
        </w:rPr>
        <w:t>рритории района составила 19 440</w:t>
      </w:r>
      <w:r w:rsidRPr="00E54DD7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9405F1" w:rsidRPr="00E54DD7" w:rsidRDefault="009405F1" w:rsidP="0094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DD7">
        <w:rPr>
          <w:rFonts w:ascii="Georgia" w:hAnsi="Georgia"/>
        </w:rPr>
        <w:t>Общая численность постоянно проживающего населения снизилась по причине отрицательной миграции и высокой смертности.</w:t>
      </w:r>
    </w:p>
    <w:p w:rsidR="009405F1" w:rsidRPr="009405F1" w:rsidRDefault="009405F1" w:rsidP="009405F1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405F1" w:rsidRPr="00E54DD7" w:rsidRDefault="00E54DD7" w:rsidP="009405F1">
      <w:pPr>
        <w:spacing w:after="0" w:line="264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Среднегодовая ч</w:t>
      </w:r>
      <w:r w:rsidR="009405F1" w:rsidRPr="00E54DD7">
        <w:rPr>
          <w:rFonts w:ascii="Times New Roman" w:eastAsia="Times New Roman" w:hAnsi="Times New Roman"/>
          <w:b/>
          <w:sz w:val="24"/>
          <w:szCs w:val="24"/>
        </w:rPr>
        <w:t>исленность населения (чел.)</w:t>
      </w:r>
    </w:p>
    <w:p w:rsidR="009405F1" w:rsidRPr="009405F1" w:rsidRDefault="009405F1" w:rsidP="009405F1">
      <w:pPr>
        <w:spacing w:after="0" w:line="264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9405F1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30A2246" wp14:editId="66D1C798">
            <wp:extent cx="5779698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5F1" w:rsidRPr="009405F1" w:rsidRDefault="009405F1" w:rsidP="009405F1">
      <w:pPr>
        <w:spacing w:after="0" w:line="264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405F1" w:rsidRPr="00FD6FEF" w:rsidRDefault="00FD6FEF" w:rsidP="0094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6FEF">
        <w:rPr>
          <w:rFonts w:ascii="PT Astra Serif" w:eastAsia="Times New Roman" w:hAnsi="PT Astra Serif"/>
          <w:sz w:val="24"/>
          <w:szCs w:val="24"/>
          <w:lang w:eastAsia="ru-RU"/>
        </w:rPr>
        <w:t>За  2021</w:t>
      </w:r>
      <w:r w:rsidR="009405F1" w:rsidRPr="00FD6FEF">
        <w:rPr>
          <w:rFonts w:ascii="PT Astra Serif" w:eastAsia="Times New Roman" w:hAnsi="PT Astra Serif"/>
          <w:sz w:val="24"/>
          <w:szCs w:val="24"/>
          <w:lang w:eastAsia="ru-RU"/>
        </w:rPr>
        <w:t xml:space="preserve"> год естественная убыль населения райо</w:t>
      </w:r>
      <w:r w:rsidRPr="00FD6FEF">
        <w:rPr>
          <w:rFonts w:ascii="PT Astra Serif" w:eastAsia="Times New Roman" w:hAnsi="PT Astra Serif"/>
          <w:sz w:val="24"/>
          <w:szCs w:val="24"/>
          <w:lang w:eastAsia="ru-RU"/>
        </w:rPr>
        <w:t>на составила  45 человек, что на 55</w:t>
      </w:r>
      <w:r w:rsidR="009405F1" w:rsidRPr="00FD6FEF">
        <w:rPr>
          <w:rFonts w:ascii="PT Astra Serif" w:eastAsia="Times New Roman" w:hAnsi="PT Astra Serif"/>
          <w:sz w:val="24"/>
          <w:szCs w:val="24"/>
          <w:lang w:eastAsia="ru-RU"/>
        </w:rPr>
        <w:t>% выше уровня прошлого года.</w:t>
      </w:r>
    </w:p>
    <w:p w:rsidR="009405F1" w:rsidRPr="0049226D" w:rsidRDefault="00335896" w:rsidP="0094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26D">
        <w:rPr>
          <w:rFonts w:ascii="PT Astra Serif" w:eastAsia="Times New Roman" w:hAnsi="PT Astra Serif"/>
          <w:sz w:val="24"/>
          <w:szCs w:val="24"/>
          <w:lang w:eastAsia="ru-RU"/>
        </w:rPr>
        <w:t>Всего за 2021 год зарегистрировано 172</w:t>
      </w:r>
      <w:r w:rsidR="0049226D" w:rsidRPr="0049226D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proofErr w:type="gramStart"/>
      <w:r w:rsidR="0049226D" w:rsidRPr="0049226D">
        <w:rPr>
          <w:rFonts w:ascii="PT Astra Serif" w:eastAsia="Times New Roman" w:hAnsi="PT Astra Serif"/>
          <w:sz w:val="24"/>
          <w:szCs w:val="24"/>
          <w:lang w:eastAsia="ru-RU"/>
        </w:rPr>
        <w:t>родившихся</w:t>
      </w:r>
      <w:proofErr w:type="gramEnd"/>
      <w:r w:rsidR="0049226D" w:rsidRPr="0049226D">
        <w:rPr>
          <w:rFonts w:ascii="PT Astra Serif" w:eastAsia="Times New Roman" w:hAnsi="PT Astra Serif"/>
          <w:sz w:val="24"/>
          <w:szCs w:val="24"/>
          <w:lang w:eastAsia="ru-RU"/>
        </w:rPr>
        <w:t xml:space="preserve"> и  217</w:t>
      </w:r>
      <w:r w:rsidR="009405F1" w:rsidRPr="0049226D">
        <w:rPr>
          <w:rFonts w:ascii="PT Astra Serif" w:eastAsia="Times New Roman" w:hAnsi="PT Astra Serif"/>
          <w:sz w:val="24"/>
          <w:szCs w:val="24"/>
          <w:lang w:eastAsia="ru-RU"/>
        </w:rPr>
        <w:t xml:space="preserve"> умерших.  По сравнению с соответствующим периодом прошлого го</w:t>
      </w:r>
      <w:r w:rsidR="0049226D" w:rsidRPr="0049226D">
        <w:rPr>
          <w:rFonts w:ascii="PT Astra Serif" w:eastAsia="Times New Roman" w:hAnsi="PT Astra Serif"/>
          <w:sz w:val="24"/>
          <w:szCs w:val="24"/>
          <w:lang w:eastAsia="ru-RU"/>
        </w:rPr>
        <w:t>да число родившихся  уменьшилось на  22</w:t>
      </w:r>
      <w:r w:rsidR="009405F1" w:rsidRPr="0049226D">
        <w:rPr>
          <w:rFonts w:ascii="PT Astra Serif" w:eastAsia="Times New Roman" w:hAnsi="PT Astra Serif"/>
          <w:sz w:val="24"/>
          <w:szCs w:val="24"/>
          <w:lang w:eastAsia="ru-RU"/>
        </w:rPr>
        <w:t xml:space="preserve"> человек</w:t>
      </w:r>
      <w:r w:rsidR="0049226D" w:rsidRPr="0049226D">
        <w:rPr>
          <w:rFonts w:ascii="PT Astra Serif" w:eastAsia="Times New Roman" w:hAnsi="PT Astra Serif"/>
          <w:sz w:val="24"/>
          <w:szCs w:val="24"/>
          <w:lang w:eastAsia="ru-RU"/>
        </w:rPr>
        <w:t>а (11,3</w:t>
      </w:r>
      <w:r w:rsidR="009405F1" w:rsidRPr="0049226D">
        <w:rPr>
          <w:rFonts w:ascii="PT Astra Serif" w:eastAsia="Times New Roman" w:hAnsi="PT Astra Serif"/>
          <w:sz w:val="24"/>
          <w:szCs w:val="24"/>
          <w:lang w:eastAsia="ru-RU"/>
        </w:rPr>
        <w:t>%), а число умерших н</w:t>
      </w:r>
      <w:r w:rsidR="0049226D" w:rsidRPr="0049226D">
        <w:rPr>
          <w:rFonts w:ascii="PT Astra Serif" w:eastAsia="Times New Roman" w:hAnsi="PT Astra Serif"/>
          <w:sz w:val="24"/>
          <w:szCs w:val="24"/>
          <w:lang w:eastAsia="ru-RU"/>
        </w:rPr>
        <w:t>а 6 человек (2,7</w:t>
      </w:r>
      <w:r w:rsidR="009405F1" w:rsidRPr="0049226D">
        <w:rPr>
          <w:rFonts w:ascii="PT Astra Serif" w:eastAsia="Times New Roman" w:hAnsi="PT Astra Serif"/>
          <w:sz w:val="24"/>
          <w:szCs w:val="24"/>
          <w:lang w:eastAsia="ru-RU"/>
        </w:rPr>
        <w:t>%). Смертность насел</w:t>
      </w:r>
      <w:r w:rsidR="0049226D" w:rsidRPr="0049226D">
        <w:rPr>
          <w:rFonts w:ascii="PT Astra Serif" w:eastAsia="Times New Roman" w:hAnsi="PT Astra Serif"/>
          <w:sz w:val="24"/>
          <w:szCs w:val="24"/>
          <w:lang w:eastAsia="ru-RU"/>
        </w:rPr>
        <w:t>ения превысила рождаемость в 1,3</w:t>
      </w:r>
      <w:r w:rsidR="009405F1" w:rsidRPr="0049226D">
        <w:rPr>
          <w:rFonts w:ascii="PT Astra Serif" w:eastAsia="Times New Roman" w:hAnsi="PT Astra Serif"/>
          <w:sz w:val="24"/>
          <w:szCs w:val="24"/>
          <w:lang w:eastAsia="ru-RU"/>
        </w:rPr>
        <w:t xml:space="preserve"> раза.</w:t>
      </w:r>
    </w:p>
    <w:p w:rsidR="009405F1" w:rsidRPr="009405F1" w:rsidRDefault="009405F1" w:rsidP="009405F1">
      <w:pPr>
        <w:spacing w:after="0" w:line="264" w:lineRule="auto"/>
        <w:ind w:firstLine="708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9405F1" w:rsidRPr="0049226D" w:rsidRDefault="009405F1" w:rsidP="009405F1">
      <w:pPr>
        <w:spacing w:after="0" w:line="264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49226D">
        <w:rPr>
          <w:rFonts w:ascii="Times New Roman" w:eastAsia="Times New Roman" w:hAnsi="Times New Roman"/>
          <w:b/>
          <w:sz w:val="24"/>
          <w:szCs w:val="24"/>
        </w:rPr>
        <w:t>Естественный</w:t>
      </w:r>
      <w:proofErr w:type="gramEnd"/>
      <w:r w:rsidRPr="0049226D">
        <w:rPr>
          <w:rFonts w:ascii="Times New Roman" w:eastAsia="Times New Roman" w:hAnsi="Times New Roman"/>
          <w:b/>
          <w:sz w:val="24"/>
          <w:szCs w:val="24"/>
        </w:rPr>
        <w:t xml:space="preserve"> прост населения (чел.)</w:t>
      </w:r>
    </w:p>
    <w:p w:rsidR="009405F1" w:rsidRPr="009405F1" w:rsidRDefault="009405F1" w:rsidP="009405F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405F1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8E30F47" wp14:editId="59CDD056">
            <wp:extent cx="5822830" cy="235501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05F1" w:rsidRPr="009405F1" w:rsidRDefault="009405F1" w:rsidP="0094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405F1" w:rsidRPr="009405F1" w:rsidRDefault="009405F1" w:rsidP="009405F1">
      <w:pPr>
        <w:spacing w:after="0" w:line="264" w:lineRule="auto"/>
        <w:ind w:firstLine="708"/>
        <w:jc w:val="center"/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</w:pPr>
    </w:p>
    <w:p w:rsidR="009405F1" w:rsidRPr="0049226D" w:rsidRDefault="0049226D" w:rsidP="0094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предварительным данным </w:t>
      </w:r>
      <w:proofErr w:type="spellStart"/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>Тюменьстата</w:t>
      </w:r>
      <w:proofErr w:type="spellEnd"/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>, ч</w:t>
      </w:r>
      <w:r w:rsidR="009405F1" w:rsidRPr="0049226D">
        <w:rPr>
          <w:rFonts w:ascii="Times New Roman" w:eastAsia="Times New Roman" w:hAnsi="Times New Roman"/>
          <w:sz w:val="24"/>
          <w:szCs w:val="24"/>
          <w:lang w:eastAsia="ru-RU"/>
        </w:rPr>
        <w:t>исло прибывших на терри</w:t>
      </w:r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торию </w:t>
      </w:r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района за 2021 год составило 736 человек, что на 86</w:t>
      </w:r>
      <w:r w:rsidR="009405F1" w:rsidRPr="004922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>больше</w:t>
      </w:r>
      <w:r w:rsidR="009405F1" w:rsidRPr="0049226D">
        <w:rPr>
          <w:rFonts w:ascii="Times New Roman" w:eastAsia="Times New Roman" w:hAnsi="Times New Roman"/>
          <w:sz w:val="24"/>
          <w:szCs w:val="24"/>
          <w:lang w:eastAsia="ru-RU"/>
        </w:rPr>
        <w:t>, чем за аналогичный пе</w:t>
      </w:r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>риод  2020 года –  650</w:t>
      </w:r>
      <w:r w:rsidR="009405F1" w:rsidRPr="004922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человек), чи</w:t>
      </w:r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>сло выбывших за 2021 год составило 1 023</w:t>
      </w:r>
      <w:r w:rsidR="009405F1" w:rsidRPr="004922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>а, что на 206</w:t>
      </w:r>
      <w:r w:rsidR="009405F1" w:rsidRPr="004922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</w:t>
      </w:r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>больше, чем за аналогичный период 2020 года  – 817 человек</w:t>
      </w:r>
      <w:r w:rsidR="009405F1" w:rsidRPr="004922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405F1" w:rsidRPr="0049226D" w:rsidRDefault="009405F1" w:rsidP="0094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>Миграционная убы</w:t>
      </w:r>
      <w:r w:rsidR="0049226D" w:rsidRPr="0049226D">
        <w:rPr>
          <w:rFonts w:ascii="Times New Roman" w:eastAsia="Times New Roman" w:hAnsi="Times New Roman"/>
          <w:sz w:val="24"/>
          <w:szCs w:val="24"/>
          <w:lang w:eastAsia="ru-RU"/>
        </w:rPr>
        <w:t>ль населения за 2021 год составила 287</w:t>
      </w:r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тогд</w:t>
      </w:r>
      <w:r w:rsidR="0049226D" w:rsidRPr="0049226D">
        <w:rPr>
          <w:rFonts w:ascii="Times New Roman" w:eastAsia="Times New Roman" w:hAnsi="Times New Roman"/>
          <w:sz w:val="24"/>
          <w:szCs w:val="24"/>
          <w:lang w:eastAsia="ru-RU"/>
        </w:rPr>
        <w:t>а как за аналогичный период 2020</w:t>
      </w:r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миграционна</w:t>
      </w:r>
      <w:r w:rsidR="0049226D" w:rsidRPr="0049226D">
        <w:rPr>
          <w:rFonts w:ascii="Times New Roman" w:eastAsia="Times New Roman" w:hAnsi="Times New Roman"/>
          <w:sz w:val="24"/>
          <w:szCs w:val="24"/>
          <w:lang w:eastAsia="ru-RU"/>
        </w:rPr>
        <w:t>я убыль населения составляла 167 человек</w:t>
      </w:r>
      <w:r w:rsidRPr="004922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226D" w:rsidRPr="009405F1" w:rsidRDefault="0049226D" w:rsidP="0094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405F1" w:rsidRPr="009405F1" w:rsidRDefault="009405F1" w:rsidP="009405F1">
      <w:pPr>
        <w:spacing w:after="0" w:line="264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405F1">
        <w:rPr>
          <w:rFonts w:ascii="Times New Roman" w:eastAsia="Times New Roman" w:hAnsi="Times New Roman"/>
          <w:noProof/>
          <w:color w:val="FF0000"/>
          <w:sz w:val="24"/>
          <w:szCs w:val="24"/>
          <w:highlight w:val="yellow"/>
          <w:lang w:eastAsia="ru-RU"/>
        </w:rPr>
        <w:drawing>
          <wp:inline distT="0" distB="0" distL="0" distR="0" wp14:anchorId="47BE6043" wp14:editId="6D7FCF31">
            <wp:extent cx="5762446" cy="229462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05F1" w:rsidRPr="009405F1" w:rsidRDefault="009405F1" w:rsidP="009405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405F1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1.2.Промышленность</w:t>
      </w:r>
    </w:p>
    <w:p w:rsidR="009405F1" w:rsidRPr="00B76224" w:rsidRDefault="00FB78E7" w:rsidP="0094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2021</w:t>
      </w:r>
      <w:r w:rsidR="009405F1" w:rsidRPr="00B762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оборот организаций (без субъектов малого предпринимательства) </w:t>
      </w:r>
      <w:r w:rsidR="00904C5F">
        <w:rPr>
          <w:rFonts w:ascii="Times New Roman" w:eastAsia="Times New Roman" w:hAnsi="Times New Roman"/>
          <w:bCs/>
          <w:sz w:val="24"/>
          <w:szCs w:val="24"/>
          <w:lang w:eastAsia="ru-RU"/>
        </w:rPr>
        <w:t>по видам экономической деятельности</w:t>
      </w:r>
      <w:r w:rsidR="009405F1" w:rsidRPr="00B762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составил</w:t>
      </w:r>
      <w:r w:rsidR="00904C5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76224">
        <w:rPr>
          <w:rFonts w:ascii="Times New Roman" w:hAnsi="Times New Roman"/>
          <w:bCs/>
          <w:sz w:val="24"/>
          <w:szCs w:val="24"/>
          <w:lang w:eastAsia="ru-RU"/>
        </w:rPr>
        <w:t>654 678,6 млн. рублей или 149</w:t>
      </w:r>
      <w:r w:rsidR="009405F1" w:rsidRPr="00B76224">
        <w:rPr>
          <w:rFonts w:ascii="Times New Roman" w:hAnsi="Times New Roman"/>
          <w:bCs/>
          <w:sz w:val="24"/>
          <w:szCs w:val="24"/>
          <w:lang w:eastAsia="ru-RU"/>
        </w:rPr>
        <w:t>% к аналогичному показателю прошлого года.</w:t>
      </w:r>
    </w:p>
    <w:p w:rsidR="009405F1" w:rsidRPr="00B76224" w:rsidRDefault="009405F1" w:rsidP="0094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76224">
        <w:rPr>
          <w:rFonts w:ascii="Times New Roman" w:eastAsia="Times New Roman" w:hAnsi="Times New Roman"/>
          <w:bCs/>
          <w:sz w:val="24"/>
          <w:szCs w:val="24"/>
          <w:lang w:eastAsia="zh-CN"/>
        </w:rPr>
        <w:t>бъем отгруженных товаров собственного производства, выполненных работ и у</w:t>
      </w:r>
      <w:r w:rsidR="00FB78E7" w:rsidRPr="00B76224">
        <w:rPr>
          <w:rFonts w:ascii="Times New Roman" w:eastAsia="Times New Roman" w:hAnsi="Times New Roman"/>
          <w:bCs/>
          <w:sz w:val="24"/>
          <w:szCs w:val="24"/>
          <w:lang w:eastAsia="zh-CN"/>
        </w:rPr>
        <w:t>слуг в действующих ценах за 2021</w:t>
      </w:r>
      <w:r w:rsidRPr="00B7622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год сложился в сумме</w:t>
      </w:r>
      <w:r w:rsidRPr="00B762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B78E7" w:rsidRPr="00B76224">
        <w:rPr>
          <w:rFonts w:ascii="Times New Roman" w:hAnsi="Times New Roman"/>
          <w:bCs/>
          <w:sz w:val="24"/>
          <w:szCs w:val="24"/>
          <w:lang w:eastAsia="ru-RU"/>
        </w:rPr>
        <w:t>626 289,9</w:t>
      </w:r>
      <w:r w:rsidRPr="00B76224">
        <w:rPr>
          <w:rFonts w:ascii="Times New Roman" w:hAnsi="Times New Roman"/>
          <w:bCs/>
          <w:sz w:val="24"/>
          <w:szCs w:val="24"/>
          <w:lang w:eastAsia="ru-RU"/>
        </w:rPr>
        <w:t xml:space="preserve"> млн. рублей</w:t>
      </w:r>
      <w:r w:rsidR="00FB78E7" w:rsidRPr="00B76224">
        <w:rPr>
          <w:rFonts w:ascii="Times New Roman" w:eastAsia="Times New Roman" w:hAnsi="Times New Roman"/>
          <w:bCs/>
          <w:sz w:val="24"/>
          <w:szCs w:val="24"/>
          <w:lang w:eastAsia="ru-RU"/>
        </w:rPr>
        <w:t>, или 151,9% к уровню 2020</w:t>
      </w:r>
      <w:r w:rsidRPr="00B762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в сопоставимых ценах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405F1" w:rsidRPr="00B76224" w:rsidRDefault="009405F1" w:rsidP="009405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6224">
        <w:rPr>
          <w:rFonts w:ascii="Times New Roman" w:eastAsia="Times New Roman" w:hAnsi="Times New Roman"/>
          <w:sz w:val="24"/>
          <w:szCs w:val="24"/>
          <w:lang w:eastAsia="zh-CN"/>
        </w:rPr>
        <w:t>Структура объема отгруженной продукции собственного производства, выполненных работ и услуг по крупным и средним предприятиям района выглядит следующим образом (млн. рублей):</w:t>
      </w:r>
    </w:p>
    <w:p w:rsidR="009405F1" w:rsidRPr="009405F1" w:rsidRDefault="009405F1" w:rsidP="009405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9405F1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5B3C775F" wp14:editId="39BC58FE">
            <wp:extent cx="5762625" cy="2990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4F46" w:rsidRDefault="004C4F46" w:rsidP="00B76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C4F46" w:rsidRDefault="004C4F46" w:rsidP="00B76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76224" w:rsidRPr="00B76224" w:rsidRDefault="00B76224" w:rsidP="00B76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76224">
        <w:rPr>
          <w:rFonts w:ascii="Times New Roman" w:eastAsia="Times New Roman" w:hAnsi="Times New Roman"/>
          <w:i/>
          <w:sz w:val="24"/>
          <w:szCs w:val="24"/>
        </w:rPr>
        <w:lastRenderedPageBreak/>
        <w:t>Добыча полезных ископаемых</w:t>
      </w:r>
    </w:p>
    <w:p w:rsidR="00B76224" w:rsidRPr="00B76224" w:rsidRDefault="00B76224" w:rsidP="00B76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В 2021 году на территории Ханты-Мансийского района добычу нефти и газа осуществляли 6 нефтегазодобывающих компаний. По оперативным данным Департамента недропользования и природных ресурсов Ханты-Мансийского автономного округа – Югры суммарно извлекаемые запасы нефти составили</w:t>
      </w:r>
      <w:r w:rsidRPr="00B7622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40,81 млн. тонн, что ниже аналогичного показателя за 2020 год на 0,7%</w:t>
      </w:r>
      <w:r w:rsidRPr="00B7622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(2020 год – 41,09 млн. тонн).</w:t>
      </w:r>
      <w:r w:rsidRPr="00B7622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76224">
        <w:rPr>
          <w:rFonts w:ascii="Times New Roman" w:eastAsia="Times New Roman" w:hAnsi="Times New Roman"/>
          <w:sz w:val="24"/>
          <w:szCs w:val="24"/>
          <w:lang w:eastAsia="zh-CN"/>
        </w:rPr>
        <w:t>Сокращение добычи нефти обусловлено выполнением соглашения о сокращении добычи со странами ОПЕК+, действие соглашения продлится до конца 2022 года.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Лидерами по добыче нефти на территории района за отчетный период остаются ПАО «НК «Рос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нефть» – 26,9 млн. тонн (65,9% 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от общего объема добытой нефти); ПАО «</w:t>
      </w:r>
      <w:proofErr w:type="spellStart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Газпромнефть</w:t>
      </w:r>
      <w:proofErr w:type="spellEnd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» – 8,8 млн. тонн (21,6% от общего объема добытой нефти).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отметить, что из шести добывающих компаний наибольшую положительную динамику в сравнении с аналогичным периодом 2020 года показали три нефтедобывающие компании: ПАО «</w:t>
      </w:r>
      <w:proofErr w:type="gramStart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ЛУКОЙЛ-Западная</w:t>
      </w:r>
      <w:proofErr w:type="gramEnd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 xml:space="preserve"> Сибирь» (149,1%), ПАО НК «</w:t>
      </w:r>
      <w:proofErr w:type="spellStart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РуссНефть</w:t>
      </w:r>
      <w:proofErr w:type="spellEnd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» (109,6%), ПАО «НК «Роснефть» (100,1%).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Объем природного газа, извлеченного из недр на территории Ханты-Мансийского района за 2021 год, по данным Департамента недропользования и природных ресурсов Ханты-Мансийского автономного округа – Югры составил 4 436,6 млн. куб. м, увеличившись по сравнению с аналогичным показателем 2020 года на 1,6% (2020 год – 4 367,5 млн. куб. м).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2021 год наибольшие объемы газа добыты предприятиями: 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ПАО «НК «Роснефть» – 2 919,5 млн. куб. м (65,8% от общего объема добытого газа); ПАО «Газпром нефть» – 1 044,1 млн. куб. м (23,5%).</w:t>
      </w:r>
      <w:proofErr w:type="gramEnd"/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отметить, что из шести газодобывающих компаний наибольшую положительную динамику в сравнении с 2020 годом показало ПАО НК «</w:t>
      </w:r>
      <w:proofErr w:type="spellStart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РуссНефть</w:t>
      </w:r>
      <w:proofErr w:type="spellEnd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» (130,7%).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За 2021 год было введено в эксплуатацию 960 новых добывающих скважин, что на 187 скважин или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24,2% больше, чем за 2020 год 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(773 скважины). Эксплуатационным бурением пройдено 3 481 тыс. м, что на 10,8% ниже аналогичного</w:t>
      </w:r>
      <w:r w:rsidRPr="00B7622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показателя 2020 года (3 901 тыс. м).</w:t>
      </w:r>
      <w:r w:rsidRPr="00B7622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Эксплуатационный фонд добывающих скважин за 2021 год составил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 xml:space="preserve">11 498 единиц, что на 2,6% выше аналогичного показателя 2020 года 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br/>
        <w:t>(11 205 единиц).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 xml:space="preserve">Добычу общераспространенных полезных ископаемых (далее – ОПИ) на территории района в 2021 году осуществляло 10 компаний, что соответствует уровню 2020 года. 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Суммарный объем добычи всех ОПИ составил 28 629,5 тыс. куб. м, в том числе песка – 28 549,3 тыс. куб. м (99,7% от общего объема ОПИ)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 сравнению с 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аналогичным показателем за 2020 год добыча ОПИ повысилась на 35,9% (21 067 тыс. куб. м). Лидером по добыче ОПИ на территории района в 2021 году являлось ООО «РН-</w:t>
      </w:r>
      <w:proofErr w:type="spellStart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Юганскнефтегаз</w:t>
      </w:r>
      <w:proofErr w:type="spellEnd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» – 19 437,5 тыс. куб. м (67,9% от общего объема добычи ОПИ).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i/>
          <w:sz w:val="24"/>
          <w:szCs w:val="24"/>
          <w:lang w:eastAsia="ru-RU"/>
        </w:rPr>
        <w:t>Обеспечение электрической энергией, газом и паром; кондиционирование воздуха.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предварительным данным обеспечение электрической энергией, газом и паром за 2021 год </w:t>
      </w:r>
      <w:r w:rsidRPr="00B762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действующих ценах сложилось в объеме 3 676,2 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млн. рублей или 108,9% к аналогичному показателю прош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лого года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 xml:space="preserve"> (за 2020 год – 3 376,1 млн. рублей). 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По предварительным данным за 2021 год предприятиями электроэнергетики Ханты-Мансийского района выработано электроэнергии 4 300 млн. кВт/</w:t>
      </w:r>
      <w:proofErr w:type="gramStart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B7622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или 102,8% к аналогичному показателю прошлого года (2020 год – 4 182,9 млн. кВт/час).</w:t>
      </w:r>
      <w:r w:rsidRPr="00B76224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B7622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Из общего количества произведенной электрической энергии производство электроэнергии децентрализованными электростанциями составило</w:t>
      </w:r>
      <w:r w:rsidRPr="00B76224"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B7622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13,1 млн. кВт/ч. или 109,2% к аналогичному показателю за 2020 год (12 млн. кВт/ч). 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По состоянию на 1 января 2022 года количество генерирующих источников по Ханты-Мансийскому району составило 22 единицы, что соответствует уровню прошлого года. 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Обрабатывающее производство</w:t>
      </w:r>
      <w:r w:rsidRPr="00B7622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обрабатывающей промышленности в общем объеме производства за 2021 год составила 0,4% (1 727,5 млн. рублей), большая часть, которой представлена в районе предприятиями топливно-энергетического комплекса, оказывающими услуги по монтажу, ремонту и техническому обслуживанию оборудования общего назначения нефтедобывающим предприятиям. В населенных пунктах Ханты-Мансийского района обрабатывающее производство представлено производством хлеба, хлебобулочных изделий, выловом и переработкой рыбы малыми предприятиями и индивидуальными предпринимателями. </w:t>
      </w:r>
    </w:p>
    <w:p w:rsidR="00B76224" w:rsidRPr="00B76224" w:rsidRDefault="00B76224" w:rsidP="00B76224">
      <w:pPr>
        <w:widowControl w:val="0"/>
        <w:tabs>
          <w:tab w:val="left" w:pos="226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на территории Ханты-Мансийского района заготовкой и переработкой древесины крупные и средние предприятия (организации) соответствующего вида деятельности не занимались. 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На 1 января 2022 года выпечку хлеба и хлебобулочных изделий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территории Ханты-Мансийского района осуществляли 4 </w:t>
      </w:r>
      <w:proofErr w:type="spellStart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микропредприятия</w:t>
      </w:r>
      <w:proofErr w:type="spellEnd"/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 xml:space="preserve"> и 18 предпринимателей в 26 пекарнях, расположенных в 19 населенных пунктах района. 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hAnsi="Times New Roman"/>
          <w:sz w:val="24"/>
          <w:szCs w:val="24"/>
        </w:rPr>
        <w:t xml:space="preserve">Общий объем выпуска хлеба, хлебобулочных и кондитерских изделий предприятиями всех форм собственности района за 2021 год составил 653,9 тонны, что составляет 107,3% к 2020 году (609,4 тонны). </w:t>
      </w:r>
    </w:p>
    <w:p w:rsidR="00B76224" w:rsidRPr="00B76224" w:rsidRDefault="00B76224" w:rsidP="00B762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hAnsi="Times New Roman"/>
          <w:sz w:val="24"/>
          <w:szCs w:val="24"/>
        </w:rPr>
        <w:t>Из общего объема выпуска хлеба, хлебобулочных и кондитерских изделий в  2021 году произведено:</w:t>
      </w:r>
    </w:p>
    <w:p w:rsidR="00B76224" w:rsidRPr="00B76224" w:rsidRDefault="00B76224" w:rsidP="00B76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224">
        <w:rPr>
          <w:rFonts w:ascii="Times New Roman" w:hAnsi="Times New Roman"/>
          <w:sz w:val="24"/>
          <w:szCs w:val="24"/>
        </w:rPr>
        <w:t xml:space="preserve">хлеба – 544,01 тонны (2020 год -543,4 тонны); </w:t>
      </w:r>
    </w:p>
    <w:p w:rsidR="00B76224" w:rsidRPr="00B76224" w:rsidRDefault="00B76224" w:rsidP="00B76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224">
        <w:rPr>
          <w:rFonts w:ascii="Times New Roman" w:hAnsi="Times New Roman"/>
          <w:sz w:val="24"/>
          <w:szCs w:val="24"/>
        </w:rPr>
        <w:t xml:space="preserve">хлебобулочных изделий – 83,56 тонны (2020 год – 52,99 тонны); </w:t>
      </w:r>
    </w:p>
    <w:p w:rsidR="00B76224" w:rsidRPr="00B76224" w:rsidRDefault="00B76224" w:rsidP="00B76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224">
        <w:rPr>
          <w:rFonts w:ascii="Times New Roman" w:hAnsi="Times New Roman"/>
          <w:sz w:val="24"/>
          <w:szCs w:val="24"/>
        </w:rPr>
        <w:t xml:space="preserve">кондитерских изделий 26,31 тонн – (2020 год – 12,98 тонн). </w:t>
      </w:r>
    </w:p>
    <w:p w:rsidR="00B76224" w:rsidRPr="00B76224" w:rsidRDefault="00B76224" w:rsidP="00B762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5F1" w:rsidRPr="00B76224" w:rsidRDefault="009405F1" w:rsidP="009405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1.3.Инвестиции</w:t>
      </w:r>
    </w:p>
    <w:p w:rsidR="00B76224" w:rsidRPr="00B76224" w:rsidRDefault="00B76224" w:rsidP="00B76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B7622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Объем инвестиций в основной капитал по крупным и средним предприятиям по оценке </w:t>
      </w:r>
      <w:r w:rsidRPr="00B76224">
        <w:rPr>
          <w:rFonts w:ascii="Times New Roman" w:eastAsia="Times New Roman" w:hAnsi="Times New Roman"/>
          <w:sz w:val="24"/>
          <w:szCs w:val="24"/>
          <w:lang w:eastAsia="x-none"/>
        </w:rPr>
        <w:t xml:space="preserve">за </w:t>
      </w:r>
      <w:r w:rsidRPr="00B76224">
        <w:rPr>
          <w:rFonts w:ascii="Times New Roman" w:eastAsia="Times New Roman" w:hAnsi="Times New Roman"/>
          <w:sz w:val="24"/>
          <w:szCs w:val="24"/>
          <w:lang w:val="x-none" w:eastAsia="x-none"/>
        </w:rPr>
        <w:t>20</w:t>
      </w:r>
      <w:r w:rsidRPr="00B76224">
        <w:rPr>
          <w:rFonts w:ascii="Times New Roman" w:eastAsia="Times New Roman" w:hAnsi="Times New Roman"/>
          <w:sz w:val="24"/>
          <w:szCs w:val="24"/>
          <w:lang w:eastAsia="x-none"/>
        </w:rPr>
        <w:t>21</w:t>
      </w:r>
      <w:r w:rsidR="0024629E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год сложился в объеме</w:t>
      </w:r>
      <w:r w:rsidR="0024629E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B76224">
        <w:rPr>
          <w:rFonts w:ascii="Times New Roman" w:eastAsia="Times New Roman" w:hAnsi="Times New Roman"/>
          <w:sz w:val="24"/>
          <w:szCs w:val="24"/>
          <w:lang w:eastAsia="x-none"/>
        </w:rPr>
        <w:t xml:space="preserve">166 230,9 </w:t>
      </w:r>
      <w:r w:rsidRPr="00B7622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млн. рублей или </w:t>
      </w:r>
      <w:r w:rsidRPr="00B76224">
        <w:rPr>
          <w:rFonts w:ascii="Times New Roman" w:eastAsia="Times New Roman" w:hAnsi="Times New Roman"/>
          <w:sz w:val="24"/>
          <w:szCs w:val="24"/>
          <w:lang w:eastAsia="x-none"/>
        </w:rPr>
        <w:t xml:space="preserve">101,9 </w:t>
      </w:r>
      <w:r w:rsidRPr="00B7622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% в сопоставимых ценах к </w:t>
      </w:r>
      <w:r w:rsidR="0024629E">
        <w:rPr>
          <w:rFonts w:ascii="Times New Roman" w:eastAsia="Times New Roman" w:hAnsi="Times New Roman"/>
          <w:sz w:val="24"/>
          <w:szCs w:val="24"/>
          <w:lang w:eastAsia="x-none"/>
        </w:rPr>
        <w:t xml:space="preserve">уровню </w:t>
      </w:r>
      <w:r w:rsidRPr="00B76224">
        <w:rPr>
          <w:rFonts w:ascii="Times New Roman" w:eastAsia="Times New Roman" w:hAnsi="Times New Roman"/>
          <w:sz w:val="24"/>
          <w:szCs w:val="24"/>
          <w:lang w:val="x-none" w:eastAsia="x-none"/>
        </w:rPr>
        <w:t>20</w:t>
      </w:r>
      <w:r w:rsidRPr="00B76224">
        <w:rPr>
          <w:rFonts w:ascii="Times New Roman" w:eastAsia="Times New Roman" w:hAnsi="Times New Roman"/>
          <w:sz w:val="24"/>
          <w:szCs w:val="24"/>
          <w:lang w:eastAsia="x-none"/>
        </w:rPr>
        <w:t>20</w:t>
      </w:r>
      <w:r w:rsidRPr="00B76224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год</w:t>
      </w:r>
      <w:r w:rsidRPr="00B76224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B76224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B76224" w:rsidRPr="00B76224" w:rsidRDefault="00B76224" w:rsidP="00B7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Основную долю в структуре инвестиций занимают собственные средства предприятий – 73,2 %, доля привлеченных с</w:t>
      </w:r>
      <w:r w:rsidR="0024629E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редств составляет  </w:t>
      </w: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26,8 %.</w:t>
      </w:r>
    </w:p>
    <w:p w:rsidR="00B76224" w:rsidRPr="00B76224" w:rsidRDefault="00B76224" w:rsidP="00B7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i/>
          <w:sz w:val="24"/>
          <w:szCs w:val="24"/>
          <w:lang w:eastAsia="ru-RU"/>
        </w:rPr>
        <w:t>Создание условий для благоприятного инвестиционного климата на территории Ханты-Мансийского района</w:t>
      </w:r>
    </w:p>
    <w:p w:rsidR="00B76224" w:rsidRPr="00B76224" w:rsidRDefault="00B76224" w:rsidP="00B7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2021 года продолжена работа по формированию благоприятных условий для ведения предпринимательской деятельности и привлечения инвестиций на территорию Ханты-Мансийского района:</w:t>
      </w:r>
    </w:p>
    <w:p w:rsidR="00B76224" w:rsidRPr="00B76224" w:rsidRDefault="00B76224" w:rsidP="00B7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утвержден комплексный план мероприятий по формированию благоприятного инвестиционного климата на территории Ханты-Мансийского района на 2021 год (распоряжение администрации Ханты-Мансийского района от 04.03.2021 № 238-р);</w:t>
      </w:r>
    </w:p>
    <w:p w:rsidR="00B76224" w:rsidRPr="00B76224" w:rsidRDefault="00B76224" w:rsidP="00B7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проведено 2 заседания инвестиционного Совета по вопросам развития инвестиционной деятельности при администрации Ханты-Мансийского района, в рамках которых было рассмотрено 3 вопроса.</w:t>
      </w:r>
    </w:p>
    <w:p w:rsidR="009405F1" w:rsidRPr="00B76224" w:rsidRDefault="009405F1" w:rsidP="009405F1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6224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продолжена реализация инвестиционных проектов на территории района. Ежеквартальные итоги о ходе их реализации размещаются на официальном сайте администрации района в разделе «Инвестиционная деятельность».</w:t>
      </w:r>
    </w:p>
    <w:p w:rsidR="009405F1" w:rsidRPr="009405F1" w:rsidRDefault="009405F1" w:rsidP="009405F1">
      <w:pPr>
        <w:spacing w:after="16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05F1" w:rsidRPr="00D24F66" w:rsidRDefault="009405F1" w:rsidP="009405F1">
      <w:pPr>
        <w:spacing w:after="16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1.4.Занятость населения</w:t>
      </w:r>
    </w:p>
    <w:p w:rsidR="00D24F66" w:rsidRPr="00D24F66" w:rsidRDefault="00D24F66" w:rsidP="00D24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По данным казенного учреждения Ханты-Мансийского автономного округа – Югры «Ханты-Мансийский Центр занятости населения» (далее –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 занятости)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число граждан, обратившихся в Центр занятости за содействием в поиске подходящей работы, за 2021 год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оставило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1 376 человек, что на 13,3% больше аналогичного пока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зателя за 2020 год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(1 214 человек). Из общего числа обратившихся граждан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рудоустроено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233 человека, что на 14 человек больше, чем за 2020 год (219 человек).</w:t>
      </w:r>
    </w:p>
    <w:p w:rsidR="00D24F66" w:rsidRPr="00D24F66" w:rsidRDefault="00D24F66" w:rsidP="00D24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Численность</w:t>
      </w: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 xml:space="preserve"> официально зарегистрированных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безработных граждан, на 1 января 2022 года составила 86 человек, что на 416 человек меньше аналогичного показателя по состоянию на 1 января 2021 года (502 человека).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1 января 2022 года уровень регистрируемой безработицы составил 0,35% (на 1 января 2021 года – 2,38%). 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За 2021 год под риском сокращения численности штатов по району находилось 16 человек в 5 организациях, в 8 организациях под риском увольнения находилось и сокращен 21 человек.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Организация общественных работ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В течение 2021 года Центром занятости заключено 4 договора о совместной деятельности с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отодателями района по созданию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278 рабочих мест. В отчетном периоде в данном мероприятии приняли участие 279 человек, из которых 233 безработных граждан (за 2020 год –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288 человек, из них безработных –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 219 человек). Основными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работодателями являются: муниципальное автономное учреждение «Организационно-методический центр» (далее – МАУ «ОМЦ»), а также индивидуальные предприниматели.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Основными видами выполняемых общественных работ стали ремонт и содержание объектов внешнего благоустройства поселков, подсобные работы.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>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время.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 xml:space="preserve">В отчетном периоде заключено 6 договоров по организации временного трудоустройства несовершеннолетних граждан, которыми предусмотрено создание 477 рабочих мест для трудоустройства подростков. 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24F66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Организация временного трудоустройства безработных граждан, испытывающих трудности в поиске работы 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данного направления в течени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2021 года заключен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1 договор, приняли участие 35 человек (за 202</w:t>
      </w:r>
      <w:r w:rsidR="00B44E1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26 человек). 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</w:r>
      <w:r w:rsidRPr="00D24F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данного направления в течен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 2021 года заключен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1 договор, приняли участие 10 человек (за 2020 год – 11 человек). </w:t>
      </w:r>
    </w:p>
    <w:p w:rsidR="00D24F66" w:rsidRPr="00D24F66" w:rsidRDefault="00D24F66" w:rsidP="00D24F6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Организация временного трудоустройства граждан </w:t>
      </w:r>
      <w:proofErr w:type="spellStart"/>
      <w:r w:rsidRPr="00D24F66">
        <w:rPr>
          <w:rFonts w:ascii="Times New Roman" w:eastAsia="Times New Roman" w:hAnsi="Times New Roman"/>
          <w:i/>
          <w:sz w:val="24"/>
          <w:szCs w:val="24"/>
          <w:lang w:eastAsia="ru-RU"/>
        </w:rPr>
        <w:t>предпенсионного</w:t>
      </w:r>
      <w:proofErr w:type="spellEnd"/>
      <w:r w:rsidRPr="00D24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пенсионного возраста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в данном мероприятии приняли участие 4 человека (за 2020 год – 0 человек).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D24F66">
        <w:rPr>
          <w:rFonts w:ascii="Times New Roman" w:eastAsia="Times New Roman" w:hAnsi="Times New Roman"/>
          <w:i/>
          <w:sz w:val="24"/>
          <w:szCs w:val="24"/>
          <w:lang w:eastAsia="ru-RU"/>
        </w:rPr>
        <w:t>Самозанятость</w:t>
      </w:r>
      <w:proofErr w:type="spellEnd"/>
      <w:r w:rsidRPr="00D24F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24F66" w:rsidRPr="00D24F66" w:rsidRDefault="00D24F66" w:rsidP="00AD1D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государственной программы содействия </w:t>
      </w:r>
      <w:proofErr w:type="spellStart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самозанятости</w:t>
      </w:r>
      <w:proofErr w:type="spellEnd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безработных граждан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Ханты-Мансийского автономного округа – Югры в 2021 году </w:t>
      </w:r>
      <w:r w:rsidR="00AD1D37">
        <w:rPr>
          <w:rFonts w:ascii="Times New Roman" w:eastAsia="Times New Roman" w:hAnsi="Times New Roman"/>
          <w:sz w:val="24"/>
          <w:szCs w:val="24"/>
          <w:lang w:eastAsia="ru-RU"/>
        </w:rPr>
        <w:t>оказана единовременная финансовая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при государственной регистрации в качестве юридического лица, индивидуального предпринимателя </w:t>
      </w:r>
      <w:r w:rsidR="00AD1D37">
        <w:rPr>
          <w:rFonts w:ascii="Times New Roman" w:eastAsia="Times New Roman" w:hAnsi="Times New Roman"/>
          <w:sz w:val="24"/>
          <w:szCs w:val="24"/>
          <w:lang w:eastAsia="ru-RU"/>
        </w:rPr>
        <w:t>– 9 субъектам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За 2021 год </w:t>
      </w:r>
      <w:r w:rsidRPr="00D24F66">
        <w:rPr>
          <w:rFonts w:ascii="Times New Roman" w:hAnsi="Times New Roman"/>
          <w:sz w:val="24"/>
          <w:szCs w:val="24"/>
        </w:rPr>
        <w:t xml:space="preserve">зарегистрировали предпринимательскую деятельность из числа безработных граждан 6 человек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(за 2020 год – 12 человек).</w:t>
      </w:r>
    </w:p>
    <w:p w:rsidR="00D24F66" w:rsidRPr="00D24F66" w:rsidRDefault="00D24F66" w:rsidP="00D24F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i/>
          <w:sz w:val="24"/>
          <w:szCs w:val="24"/>
          <w:lang w:eastAsia="ru-RU"/>
        </w:rPr>
        <w:t>Профессиональное обучение</w:t>
      </w:r>
    </w:p>
    <w:p w:rsidR="00D24F66" w:rsidRPr="00D24F66" w:rsidRDefault="00D24F66" w:rsidP="00D24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2021 году запланировано профессиональное обучение 20 безработных граждан из числа жителей Ханты-Мансийского района.</w:t>
      </w:r>
    </w:p>
    <w:p w:rsidR="00D24F66" w:rsidRPr="00D24F66" w:rsidRDefault="00D24F66" w:rsidP="00D2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По итогам проведения аукционов в 2021 году заключены государственные контракты на оказание услуг в области образования по профессиональному обучению и дополнительному профессиональному образованию граждан, получателей государственных услуг в области содействия занятости населению по профессиям и программам:</w:t>
      </w:r>
    </w:p>
    <w:p w:rsidR="00D24F66" w:rsidRPr="00D24F66" w:rsidRDefault="00D24F66" w:rsidP="00D2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По итогам проведения аукционов в 2021г заключены государственные контракты на оказание услуг в области образования по профессиональному обучению и дополнительному профессиональному образованию граждан, получателей государственных услуг в области содействия занятости населению по профессиям и программам:</w:t>
      </w:r>
    </w:p>
    <w:p w:rsidR="00D24F66" w:rsidRPr="00D24F66" w:rsidRDefault="00D24F66" w:rsidP="00D2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переподготовки: «</w:t>
      </w:r>
      <w:proofErr w:type="spellStart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безопасность»; «Управление персоналом»; «Водитель категории</w:t>
      </w:r>
      <w:proofErr w:type="gramStart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», «Кадровое делопроизводство» (2); «Водитель фронтального погрузчика»;</w:t>
      </w:r>
    </w:p>
    <w:p w:rsidR="00D24F66" w:rsidRPr="00D24F66" w:rsidRDefault="00D24F66" w:rsidP="00D2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повышения квалификации: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«Контрактная система в сфере закупок товаров, работ и услуг для обеспечения государственных и муниципальных нужд»; «1С Бухгалтерия», «Фельдшер лаборант хим. анализа»;</w:t>
      </w:r>
    </w:p>
    <w:p w:rsidR="00D24F66" w:rsidRPr="00D24F66" w:rsidRDefault="00D24F66" w:rsidP="00D2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подготовки: «Делопроизводитель», «Мастер ногтевого сервиса», «Младший воспитатель», «Парикмахер», «Интернет-маркетолог» (2), «Фитнес-тренер», «Педагог-организатор», «Водитель категории</w:t>
      </w:r>
      <w:proofErr w:type="gramStart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», «Повар», «Охранник 4 разряда».</w:t>
      </w:r>
    </w:p>
    <w:p w:rsidR="00D24F66" w:rsidRPr="00D24F66" w:rsidRDefault="00D24F66" w:rsidP="00D2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обучении приняли участие 24 безработных гражданина по программе </w:t>
      </w:r>
      <w:proofErr w:type="spellStart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профподготовки</w:t>
      </w:r>
      <w:proofErr w:type="spellEnd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4F66" w:rsidRPr="00D24F66" w:rsidRDefault="00D24F66" w:rsidP="00D24F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i/>
          <w:sz w:val="24"/>
          <w:szCs w:val="24"/>
          <w:lang w:eastAsia="ru-RU"/>
        </w:rPr>
        <w:t>Мероприятия, проводимые администрацией Ханты-Мансийского района с целью снижения уровня безработицы за 2021 год.</w:t>
      </w:r>
    </w:p>
    <w:p w:rsidR="00D24F66" w:rsidRPr="00D24F66" w:rsidRDefault="00D24F66" w:rsidP="00D24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Принята и реализуется муниципальная программа «Содействие занятости населения </w:t>
      </w:r>
      <w:proofErr w:type="gramStart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Ханты-Мансийском</w:t>
      </w:r>
      <w:proofErr w:type="gramEnd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на 2019 – 2023 годы», в рамках которой в 2021 году на организацию общественных работ из бюджета района предусмотрены бюджетные ассиг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нования в размере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11 993,1 тыс. рублей для создания</w:t>
      </w:r>
      <w:r w:rsidRPr="00D24F66">
        <w:rPr>
          <w:rFonts w:ascii="Times New Roman" w:hAnsi="Times New Roman"/>
          <w:sz w:val="24"/>
          <w:szCs w:val="24"/>
          <w:lang w:eastAsia="ru-RU"/>
        </w:rPr>
        <w:t xml:space="preserve"> 327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временных рабочих мест.</w:t>
      </w:r>
    </w:p>
    <w:p w:rsidR="00D24F66" w:rsidRPr="00D24F66" w:rsidRDefault="00D24F66" w:rsidP="00D24F66">
      <w:pPr>
        <w:widowControl w:val="0"/>
        <w:tabs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Финансовое исполнение мероприятия «Организация общественных работ» по состоянию на 01.01.2022 составляет 100%.</w:t>
      </w:r>
    </w:p>
    <w:p w:rsidR="00D24F66" w:rsidRPr="00D24F66" w:rsidRDefault="00D24F66" w:rsidP="00D24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>В целях активизации работы с субъектами малого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>предпринимательства и безработными гражданами был утвержден график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>выездных мероприятий на 2021 год в населенные пункты района с участием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>специалистов комитета экономической политики администрации района,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казенного учреждения Ханты-Мансийского автономного округа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– Югры «Ханты-Мансийский центр занятости населения»</w:t>
      </w: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 xml:space="preserve">, Фонда Югорская региональная </w:t>
      </w:r>
      <w:proofErr w:type="spellStart"/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>микрокредитная</w:t>
      </w:r>
      <w:proofErr w:type="spellEnd"/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 xml:space="preserve"> компания, МАУ «Организационно-методический центр». </w:t>
      </w:r>
    </w:p>
    <w:p w:rsidR="00D24F66" w:rsidRPr="00D24F66" w:rsidRDefault="00D24F66" w:rsidP="00D24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>В течение 2021 года были проведены выездные 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онсультации в </w:t>
      </w: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>22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населенных пункта района, проведено 22 круглых стола, </w:t>
      </w: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 xml:space="preserve">в </w:t>
      </w:r>
      <w:proofErr w:type="gramStart"/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>рамках</w:t>
      </w:r>
      <w:proofErr w:type="gramEnd"/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 xml:space="preserve"> которых 301 гражданин района проинформированы об услугах Центра занятости, о возможностях участия в мероприятиях государственных и муниципальных программ, о существующих формах поддержки субъектов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>малого и среднего предпринимательства.</w:t>
      </w:r>
    </w:p>
    <w:p w:rsidR="00D24F66" w:rsidRPr="00D24F66" w:rsidRDefault="00D24F66" w:rsidP="00D24F66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i/>
          <w:sz w:val="24"/>
          <w:szCs w:val="24"/>
          <w:lang w:eastAsia="ru-RU"/>
        </w:rPr>
        <w:t>Легализация трудовых отношений</w:t>
      </w:r>
    </w:p>
    <w:p w:rsidR="00D24F66" w:rsidRPr="00D24F66" w:rsidRDefault="00D24F66" w:rsidP="00D24F66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году </w:t>
      </w:r>
      <w:proofErr w:type="spellStart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продолжаась</w:t>
      </w:r>
      <w:proofErr w:type="spellEnd"/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по снижению неформальной занятости. </w:t>
      </w:r>
    </w:p>
    <w:p w:rsidR="00D24F66" w:rsidRPr="00D24F66" w:rsidRDefault="00D24F66" w:rsidP="00D24F66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Правительством Ханты-Мансийского автономного округа – Югры муниципальному образованию Ханты-Мансийский район был установлен контрольный показатель на 2021 год по снижению численности активных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лиц, не осуществляющих трудовую деятельность, в количестве 250 человек.</w:t>
      </w:r>
    </w:p>
    <w:p w:rsidR="00D24F66" w:rsidRPr="00D24F66" w:rsidRDefault="00D24F66" w:rsidP="00D24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F6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 целью </w:t>
      </w:r>
      <w:r w:rsidRPr="00D24F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информирования работодателей о деятельности администрации в части легализации неформальных трудовых отношений, разъяснения трудового законодательства и последствиях его несоблюдения, в отчетном году проводились </w:t>
      </w:r>
      <w:r w:rsidRPr="00D24F66">
        <w:rPr>
          <w:rFonts w:ascii="Times New Roman" w:hAnsi="Times New Roman"/>
          <w:sz w:val="24"/>
          <w:szCs w:val="24"/>
          <w:lang w:eastAsia="ru-RU"/>
        </w:rPr>
        <w:t xml:space="preserve">выездные мероприятия в населенные пункты Ханты-Мансийского района. </w:t>
      </w:r>
    </w:p>
    <w:p w:rsidR="00D24F66" w:rsidRPr="00D24F66" w:rsidRDefault="00D24F66" w:rsidP="00D24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В результате комплексных мер, реализованных администрацией района совместно с казенным учреждением Ханты-Мансийского автономного       округа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 xml:space="preserve">– Югры «Ханты-Мансийский центр занятости населения», </w:t>
      </w: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 xml:space="preserve">Фондом «Югорская региональная </w:t>
      </w:r>
      <w:proofErr w:type="spellStart"/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>микрокре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дитная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компания», </w:t>
      </w:r>
      <w:r w:rsidRPr="00D24F66">
        <w:rPr>
          <w:rFonts w:ascii="Times New Roman" w:eastAsia="Times New Roman" w:hAnsi="Times New Roman"/>
          <w:sz w:val="24"/>
          <w:szCs w:val="24"/>
          <w:lang w:eastAsia="zh-CN"/>
        </w:rPr>
        <w:t>МАУ «Организационно-методический центр» в отчетном периоде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, количество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работников, с которыми были заключены трудовые договоры, составило 251</w:t>
      </w:r>
      <w:r w:rsidRPr="00D24F6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человек или 100,4% от контрольного показателя.</w:t>
      </w:r>
    </w:p>
    <w:p w:rsidR="00D24F66" w:rsidRPr="00D24F66" w:rsidRDefault="00D24F66" w:rsidP="00D24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24F66">
        <w:rPr>
          <w:rFonts w:ascii="Times New Roman" w:hAnsi="Times New Roman"/>
          <w:sz w:val="24"/>
          <w:szCs w:val="24"/>
          <w:lang w:eastAsia="zh-CN"/>
        </w:rPr>
        <w:t>Всего в 2021 году предоставлено более 129 консультаций</w:t>
      </w:r>
      <w:r w:rsidRPr="00D24F6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D24F66">
        <w:rPr>
          <w:rFonts w:ascii="Times New Roman" w:hAnsi="Times New Roman"/>
          <w:sz w:val="24"/>
          <w:szCs w:val="24"/>
          <w:lang w:eastAsia="zh-CN"/>
        </w:rPr>
        <w:t>работодателям района по отличительным особенностям между трудовыми</w:t>
      </w:r>
      <w:r w:rsidRPr="00D24F6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D24F66">
        <w:rPr>
          <w:rFonts w:ascii="Times New Roman" w:hAnsi="Times New Roman"/>
          <w:sz w:val="24"/>
          <w:szCs w:val="24"/>
          <w:lang w:eastAsia="zh-CN"/>
        </w:rPr>
        <w:t>договорами и договорами гражданско-правового характера.</w:t>
      </w:r>
    </w:p>
    <w:p w:rsidR="00D24F66" w:rsidRPr="00D24F66" w:rsidRDefault="00D24F66" w:rsidP="00D24F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24F66">
        <w:rPr>
          <w:rFonts w:ascii="Times New Roman" w:hAnsi="Times New Roman"/>
          <w:sz w:val="24"/>
          <w:szCs w:val="24"/>
          <w:lang w:eastAsia="zh-CN"/>
        </w:rPr>
        <w:t>В отчетном периоде проведено 4 заседания трехсторонней комиссии по регулированию социально-трудовых отношений, на к</w:t>
      </w:r>
      <w:r>
        <w:rPr>
          <w:rFonts w:ascii="Times New Roman" w:hAnsi="Times New Roman"/>
          <w:sz w:val="24"/>
          <w:szCs w:val="24"/>
          <w:lang w:eastAsia="zh-CN"/>
        </w:rPr>
        <w:t xml:space="preserve">оторых рассмотрено </w:t>
      </w:r>
      <w:r w:rsidRPr="00D24F66">
        <w:rPr>
          <w:rFonts w:ascii="Times New Roman" w:hAnsi="Times New Roman"/>
          <w:sz w:val="24"/>
          <w:szCs w:val="24"/>
          <w:lang w:eastAsia="zh-CN"/>
        </w:rPr>
        <w:t>9 вопросов.</w:t>
      </w:r>
    </w:p>
    <w:p w:rsidR="00D24F66" w:rsidRPr="00D24F66" w:rsidRDefault="00D24F66" w:rsidP="00D24F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4F66">
        <w:rPr>
          <w:rFonts w:ascii="Times New Roman" w:hAnsi="Times New Roman"/>
          <w:sz w:val="24"/>
          <w:szCs w:val="24"/>
        </w:rPr>
        <w:t>В 2021 году зарегистрировано 13 коллективных договоро</w:t>
      </w:r>
      <w:r>
        <w:rPr>
          <w:rFonts w:ascii="Times New Roman" w:hAnsi="Times New Roman"/>
          <w:sz w:val="24"/>
          <w:szCs w:val="24"/>
        </w:rPr>
        <w:t xml:space="preserve">в, </w:t>
      </w:r>
      <w:r w:rsidRPr="00D24F66">
        <w:rPr>
          <w:rFonts w:ascii="Times New Roman" w:hAnsi="Times New Roman"/>
          <w:sz w:val="24"/>
          <w:szCs w:val="24"/>
        </w:rPr>
        <w:t>3 изменения и дополнения к ним.</w:t>
      </w:r>
    </w:p>
    <w:p w:rsidR="00D24F66" w:rsidRPr="00D24F66" w:rsidRDefault="00D24F66" w:rsidP="00D24F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4F66">
        <w:rPr>
          <w:rFonts w:ascii="Times New Roman" w:hAnsi="Times New Roman"/>
          <w:sz w:val="24"/>
          <w:szCs w:val="24"/>
        </w:rPr>
        <w:t>В рамках проведения процедуры уведомительной регистрации коллективные договоры проанализированы на предмет соответствия действующему трудовому законодательству.</w:t>
      </w:r>
    </w:p>
    <w:p w:rsidR="00D24F66" w:rsidRPr="00D24F66" w:rsidRDefault="00D24F66" w:rsidP="00D24F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4F66">
        <w:rPr>
          <w:rFonts w:ascii="Times New Roman" w:hAnsi="Times New Roman"/>
          <w:sz w:val="24"/>
          <w:szCs w:val="24"/>
        </w:rPr>
        <w:t xml:space="preserve">В 2021 году продолжена работа, направленная на обеспечение </w:t>
      </w:r>
      <w:proofErr w:type="gramStart"/>
      <w:r w:rsidRPr="00D24F6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24F66">
        <w:rPr>
          <w:rFonts w:ascii="Times New Roman" w:hAnsi="Times New Roman"/>
          <w:sz w:val="24"/>
          <w:szCs w:val="24"/>
        </w:rPr>
        <w:t xml:space="preserve"> исполнением работодателями рекомендаций </w:t>
      </w:r>
      <w:proofErr w:type="spellStart"/>
      <w:r w:rsidRPr="00D24F6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D24F66">
        <w:rPr>
          <w:rFonts w:ascii="Times New Roman" w:hAnsi="Times New Roman"/>
          <w:sz w:val="24"/>
          <w:szCs w:val="24"/>
        </w:rPr>
        <w:t>, постановлений Губернатора, принятых в целях защиты здоровья граждан.</w:t>
      </w:r>
    </w:p>
    <w:p w:rsidR="00D24F66" w:rsidRPr="00D24F66" w:rsidRDefault="00D24F66" w:rsidP="00D24F66">
      <w:pPr>
        <w:tabs>
          <w:tab w:val="left" w:pos="10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24F66">
        <w:rPr>
          <w:rFonts w:ascii="Times New Roman" w:hAnsi="Times New Roman"/>
          <w:sz w:val="24"/>
          <w:szCs w:val="24"/>
        </w:rPr>
        <w:t xml:space="preserve">В адрес работодателей Ханты-Мансийского района посредством рассылки на электронные адреса, через созданные группы в </w:t>
      </w:r>
      <w:proofErr w:type="spellStart"/>
      <w:r w:rsidRPr="00D24F66">
        <w:rPr>
          <w:rFonts w:ascii="Times New Roman" w:hAnsi="Times New Roman"/>
          <w:sz w:val="24"/>
          <w:szCs w:val="24"/>
        </w:rPr>
        <w:t>Вайбере</w:t>
      </w:r>
      <w:proofErr w:type="spellEnd"/>
      <w:r w:rsidRPr="00D24F66">
        <w:rPr>
          <w:rFonts w:ascii="Times New Roman" w:hAnsi="Times New Roman"/>
          <w:sz w:val="24"/>
          <w:szCs w:val="24"/>
        </w:rPr>
        <w:t>, через социальные сети направлено более 50 рекомендаций по организации рабочих процессов в период повышенной готовности (по изменению условий труда, о внедрении гибких графиков работы, о соблюдении санитарно-гигиенических требованиях, о режиме самоизоляции и т.д.), о защите работников от вирусной инфекции.</w:t>
      </w:r>
      <w:proofErr w:type="gramEnd"/>
    </w:p>
    <w:p w:rsidR="00D24F66" w:rsidRPr="00D24F66" w:rsidRDefault="00D24F66" w:rsidP="00D24F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В отчетном периоде издано 20 муниципальных правовых актов по охране труда.</w:t>
      </w:r>
    </w:p>
    <w:p w:rsidR="00D24F66" w:rsidRPr="00D24F66" w:rsidRDefault="00D24F66" w:rsidP="00D24F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38135"/>
          <w:sz w:val="24"/>
          <w:szCs w:val="24"/>
          <w:lang w:eastAsia="ru-RU"/>
        </w:rPr>
      </w:pPr>
      <w:r w:rsidRPr="00D24F66">
        <w:rPr>
          <w:rFonts w:ascii="Times New Roman" w:eastAsia="Times New Roman" w:hAnsi="Times New Roman"/>
          <w:sz w:val="24"/>
          <w:szCs w:val="24"/>
        </w:rPr>
        <w:t xml:space="preserve">Разработаны и размещены в средствах массовой </w:t>
      </w:r>
      <w:r>
        <w:rPr>
          <w:rFonts w:ascii="Times New Roman" w:eastAsia="Times New Roman" w:hAnsi="Times New Roman"/>
          <w:sz w:val="24"/>
          <w:szCs w:val="24"/>
        </w:rPr>
        <w:t xml:space="preserve">информации </w:t>
      </w:r>
      <w:r w:rsidRPr="00D24F66">
        <w:rPr>
          <w:rFonts w:ascii="Times New Roman" w:eastAsia="Times New Roman" w:hAnsi="Times New Roman"/>
          <w:sz w:val="24"/>
          <w:szCs w:val="24"/>
        </w:rPr>
        <w:t>(на официальном сайте администрации района, в газете «Наш район»), а также направлены в адрес работодателей следующие материалы: «Памятка: действие работников при пожаре»</w:t>
      </w:r>
      <w:r w:rsidRPr="00D24F66">
        <w:rPr>
          <w:rFonts w:ascii="Times New Roman" w:eastAsia="Times New Roman" w:hAnsi="Times New Roman"/>
          <w:sz w:val="24"/>
          <w:szCs w:val="24"/>
          <w:lang w:eastAsia="ru-RU"/>
        </w:rPr>
        <w:t>; методические пособия «Гимнастика на рабочем месте», «Гимнастика для глаз при работе на компьютере», «Гарантии и особенности регулирования труда беременных женщин», «Комплектация аптечек для оказания первой помощи работникам».</w:t>
      </w:r>
    </w:p>
    <w:p w:rsidR="00D24F66" w:rsidRPr="00D24F66" w:rsidRDefault="00D24F66" w:rsidP="00D24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D24F66">
        <w:rPr>
          <w:rFonts w:ascii="Times New Roman" w:hAnsi="Times New Roman"/>
          <w:sz w:val="24"/>
          <w:szCs w:val="24"/>
          <w:lang w:eastAsia="zh-CN"/>
        </w:rPr>
        <w:t>За 2021 год спорных вопросов по регулированию социально-трудовых отношений работников бюджетных отраслей на уровне Ханты-Мансийского муниципального образования не возникало.</w:t>
      </w:r>
    </w:p>
    <w:p w:rsidR="009405F1" w:rsidRPr="009405F1" w:rsidRDefault="009405F1" w:rsidP="009405F1">
      <w:pPr>
        <w:ind w:firstLine="708"/>
        <w:contextualSpacing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9405F1" w:rsidRPr="008A0B0F" w:rsidRDefault="009405F1" w:rsidP="009405F1">
      <w:pPr>
        <w:ind w:firstLine="708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0B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1.5.Денежные доходы и расходы населения</w:t>
      </w:r>
    </w:p>
    <w:p w:rsidR="006A0F75" w:rsidRPr="006A0F75" w:rsidRDefault="006A0F75" w:rsidP="006A0F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A0F7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Среднедушевые денежные доходы населения Ханты-Мансийского </w:t>
      </w:r>
      <w:r w:rsidR="00AD1D37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6A0F75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2021 год составили 74 006,5 рублей или 104,4% к аналогичному показателю за 2020 год (70 876,5 рубля). Реальные располагаемые денежные доходы на душу населения (доходы за вычетом обязательных платежей, скорректированные на индекс потребительских цен) составили 99,8%.</w:t>
      </w:r>
    </w:p>
    <w:p w:rsidR="009405F1" w:rsidRPr="006A0F75" w:rsidRDefault="009405F1" w:rsidP="009405F1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0F75">
        <w:rPr>
          <w:rFonts w:ascii="Times New Roman" w:hAnsi="Times New Roman"/>
          <w:sz w:val="24"/>
          <w:szCs w:val="24"/>
        </w:rPr>
        <w:t>Основными источниками формирования денежных доходов населения являются оплата труда и трансферты населению (пенсии и пособия, стипендии).</w:t>
      </w:r>
    </w:p>
    <w:p w:rsidR="009405F1" w:rsidRPr="006A0F75" w:rsidRDefault="009405F1" w:rsidP="009405F1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0F75">
        <w:rPr>
          <w:rFonts w:ascii="Times New Roman" w:eastAsia="Times New Roman" w:hAnsi="Times New Roman"/>
          <w:i/>
          <w:sz w:val="24"/>
          <w:szCs w:val="24"/>
          <w:lang w:eastAsia="ru-RU"/>
        </w:rPr>
        <w:t>Заработная плата</w:t>
      </w:r>
    </w:p>
    <w:p w:rsidR="009405F1" w:rsidRPr="006A0F75" w:rsidRDefault="009405F1" w:rsidP="009405F1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0F75">
        <w:rPr>
          <w:rFonts w:ascii="Times New Roman" w:hAnsi="Times New Roman"/>
          <w:sz w:val="24"/>
          <w:szCs w:val="24"/>
          <w:lang w:eastAsia="ru-RU"/>
        </w:rPr>
        <w:lastRenderedPageBreak/>
        <w:t>По предварительной оценке, на оплату труда работников организаций, осуществляющих деятельность на территории Ханты-Мансийского района (не относящихся к субъектам мало</w:t>
      </w:r>
      <w:r w:rsidR="006A0F75" w:rsidRPr="006A0F75">
        <w:rPr>
          <w:rFonts w:ascii="Times New Roman" w:hAnsi="Times New Roman"/>
          <w:sz w:val="24"/>
          <w:szCs w:val="24"/>
          <w:lang w:eastAsia="ru-RU"/>
        </w:rPr>
        <w:t>го предпринимательства), за 2021 год направлено 23 943,9</w:t>
      </w:r>
      <w:r w:rsidRPr="006A0F75">
        <w:rPr>
          <w:rFonts w:ascii="Times New Roman" w:hAnsi="Times New Roman"/>
          <w:sz w:val="24"/>
          <w:szCs w:val="24"/>
          <w:lang w:eastAsia="ru-RU"/>
        </w:rPr>
        <w:t xml:space="preserve"> млн. рублей.</w:t>
      </w:r>
    </w:p>
    <w:p w:rsidR="009405F1" w:rsidRPr="006A0F75" w:rsidRDefault="009405F1" w:rsidP="009405F1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0F75">
        <w:rPr>
          <w:rFonts w:ascii="Times New Roman" w:hAnsi="Times New Roman"/>
          <w:kern w:val="2"/>
          <w:sz w:val="24"/>
          <w:szCs w:val="24"/>
          <w:lang w:eastAsia="ru-RU"/>
        </w:rPr>
        <w:t>С</w:t>
      </w:r>
      <w:r w:rsidRPr="006A0F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реднемесячная начисленная заработная плата одного работающего по крупным и средним предприятиям (по предварительным данным </w:t>
      </w:r>
      <w:proofErr w:type="spellStart"/>
      <w:r w:rsidRPr="006A0F75">
        <w:rPr>
          <w:rFonts w:ascii="Times New Roman" w:hAnsi="Times New Roman"/>
          <w:snapToGrid w:val="0"/>
          <w:sz w:val="24"/>
          <w:szCs w:val="24"/>
          <w:lang w:eastAsia="ru-RU"/>
        </w:rPr>
        <w:t>Тюменьстата</w:t>
      </w:r>
      <w:proofErr w:type="spellEnd"/>
      <w:r w:rsidRPr="006A0F75">
        <w:rPr>
          <w:rFonts w:ascii="Times New Roman" w:hAnsi="Times New Roman"/>
          <w:snapToGrid w:val="0"/>
          <w:sz w:val="24"/>
          <w:szCs w:val="24"/>
          <w:lang w:eastAsia="ru-RU"/>
        </w:rPr>
        <w:t>) за ян</w:t>
      </w:r>
      <w:r w:rsidR="006A0F75" w:rsidRPr="006A0F75">
        <w:rPr>
          <w:rFonts w:ascii="Times New Roman" w:hAnsi="Times New Roman"/>
          <w:snapToGrid w:val="0"/>
          <w:sz w:val="24"/>
          <w:szCs w:val="24"/>
          <w:lang w:eastAsia="ru-RU"/>
        </w:rPr>
        <w:t>варь-декабрь 2021 года сложилась в размере 93 490</w:t>
      </w:r>
      <w:r w:rsidRPr="006A0F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0F75" w:rsidRPr="006A0F75">
        <w:rPr>
          <w:rFonts w:ascii="Times New Roman" w:hAnsi="Times New Roman"/>
          <w:snapToGrid w:val="0"/>
          <w:sz w:val="24"/>
          <w:szCs w:val="24"/>
          <w:lang w:eastAsia="ru-RU"/>
        </w:rPr>
        <w:t>рубля или 105,6% к аналогичному периоду 2020 года (88 507</w:t>
      </w:r>
      <w:r w:rsidRPr="006A0F7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рубля). </w:t>
      </w:r>
    </w:p>
    <w:p w:rsidR="009405F1" w:rsidRPr="006A0F75" w:rsidRDefault="009405F1" w:rsidP="009405F1">
      <w:pPr>
        <w:ind w:firstLine="708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A0F75">
        <w:rPr>
          <w:rFonts w:ascii="Times New Roman" w:hAnsi="Times New Roman"/>
          <w:snapToGrid w:val="0"/>
          <w:sz w:val="24"/>
          <w:szCs w:val="24"/>
        </w:rPr>
        <w:t>Среднемесячная заработная плата рассчитывается по всем отраслям экономики района. Наибольшая средняя заработная плата сложилась в отрасли «Добыча полезных ископаемых», её уровень, по отдельным вида</w:t>
      </w:r>
      <w:r w:rsidR="006A0F75" w:rsidRPr="006A0F75">
        <w:rPr>
          <w:rFonts w:ascii="Times New Roman" w:hAnsi="Times New Roman"/>
          <w:snapToGrid w:val="0"/>
          <w:sz w:val="24"/>
          <w:szCs w:val="24"/>
        </w:rPr>
        <w:t>м деятельности, достигает 102 641 рубль</w:t>
      </w:r>
      <w:r w:rsidRPr="006A0F75">
        <w:rPr>
          <w:rFonts w:ascii="Times New Roman" w:hAnsi="Times New Roman"/>
          <w:snapToGrid w:val="0"/>
          <w:sz w:val="24"/>
          <w:szCs w:val="24"/>
        </w:rPr>
        <w:t>.</w:t>
      </w:r>
    </w:p>
    <w:p w:rsidR="009405F1" w:rsidRPr="006A0F75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5F1" w:rsidRPr="006A0F75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F75">
        <w:rPr>
          <w:rFonts w:ascii="Times New Roman" w:hAnsi="Times New Roman"/>
          <w:b/>
          <w:bCs/>
          <w:sz w:val="24"/>
          <w:szCs w:val="24"/>
        </w:rPr>
        <w:t>Средняя заработная плата работников организаций по отдельным видам э</w:t>
      </w:r>
      <w:r w:rsidR="006A0F75">
        <w:rPr>
          <w:rFonts w:ascii="Times New Roman" w:hAnsi="Times New Roman"/>
          <w:b/>
          <w:bCs/>
          <w:sz w:val="24"/>
          <w:szCs w:val="24"/>
        </w:rPr>
        <w:t>кономической деятельности в 2021</w:t>
      </w:r>
      <w:r w:rsidRPr="006A0F75">
        <w:rPr>
          <w:rFonts w:ascii="Times New Roman" w:hAnsi="Times New Roman"/>
          <w:b/>
          <w:bCs/>
          <w:sz w:val="24"/>
          <w:szCs w:val="24"/>
        </w:rPr>
        <w:t xml:space="preserve"> году (руб.)</w:t>
      </w:r>
    </w:p>
    <w:p w:rsidR="009405F1" w:rsidRPr="009405F1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9405F1" w:rsidRPr="009405F1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 w:rsidRPr="009405F1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09AEEE2E" wp14:editId="16F40F63">
            <wp:extent cx="5891841" cy="301924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05F1" w:rsidRPr="00E56B76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56B76">
        <w:rPr>
          <w:rFonts w:ascii="Times New Roman" w:hAnsi="Times New Roman"/>
          <w:i/>
          <w:sz w:val="24"/>
          <w:szCs w:val="24"/>
        </w:rPr>
        <w:t>Пенсии</w:t>
      </w:r>
    </w:p>
    <w:p w:rsidR="009405F1" w:rsidRPr="006A0F75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B0F">
        <w:rPr>
          <w:rFonts w:ascii="Times New Roman" w:hAnsi="Times New Roman"/>
          <w:sz w:val="24"/>
          <w:szCs w:val="24"/>
        </w:rPr>
        <w:t xml:space="preserve">По данным администраций сельских поселений Ханты-Мансийского района численность </w:t>
      </w:r>
      <w:r w:rsidRPr="006A0F75">
        <w:rPr>
          <w:rFonts w:ascii="Times New Roman" w:hAnsi="Times New Roman"/>
          <w:sz w:val="24"/>
          <w:szCs w:val="24"/>
        </w:rPr>
        <w:t xml:space="preserve">пенсионеров </w:t>
      </w:r>
      <w:r w:rsidR="006A0F75" w:rsidRPr="006A0F75">
        <w:rPr>
          <w:rFonts w:ascii="Times New Roman" w:hAnsi="Times New Roman"/>
          <w:sz w:val="24"/>
          <w:szCs w:val="24"/>
        </w:rPr>
        <w:t>составила 4 928</w:t>
      </w:r>
      <w:r w:rsidRPr="006A0F75">
        <w:rPr>
          <w:rFonts w:ascii="Times New Roman" w:hAnsi="Times New Roman"/>
          <w:sz w:val="24"/>
          <w:szCs w:val="24"/>
        </w:rPr>
        <w:t xml:space="preserve"> человек.</w:t>
      </w:r>
    </w:p>
    <w:p w:rsidR="009405F1" w:rsidRPr="009405F1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880CE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Среднемесячный р</w:t>
      </w:r>
      <w:r w:rsidR="00E56B76" w:rsidRPr="00880CE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азмер назначенных пенсий за 2021</w:t>
      </w:r>
      <w:r w:rsidRPr="00880CE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 составил</w:t>
      </w:r>
      <w:r w:rsidR="00E56B76" w:rsidRPr="00880CE5">
        <w:rPr>
          <w:rFonts w:ascii="Times New Roman" w:hAnsi="Times New Roman"/>
          <w:sz w:val="24"/>
          <w:szCs w:val="24"/>
        </w:rPr>
        <w:t xml:space="preserve"> 24 463,96</w:t>
      </w:r>
      <w:r w:rsidRPr="00880CE5">
        <w:rPr>
          <w:rFonts w:ascii="Times New Roman" w:hAnsi="Times New Roman"/>
          <w:sz w:val="24"/>
          <w:szCs w:val="24"/>
        </w:rPr>
        <w:t xml:space="preserve"> рублей, что</w:t>
      </w:r>
      <w:r w:rsidR="00880CE5" w:rsidRPr="00880CE5">
        <w:rPr>
          <w:rFonts w:ascii="Times New Roman" w:hAnsi="Times New Roman"/>
          <w:sz w:val="24"/>
          <w:szCs w:val="24"/>
        </w:rPr>
        <w:t xml:space="preserve"> в 1,9</w:t>
      </w:r>
      <w:r w:rsidRPr="00880CE5">
        <w:rPr>
          <w:rFonts w:ascii="Times New Roman" w:hAnsi="Times New Roman"/>
          <w:sz w:val="24"/>
          <w:szCs w:val="24"/>
        </w:rPr>
        <w:t xml:space="preserve"> раз превышает величину прожиточного </w:t>
      </w:r>
      <w:r w:rsidR="00880CE5" w:rsidRPr="00880CE5">
        <w:rPr>
          <w:rFonts w:ascii="Times New Roman" w:hAnsi="Times New Roman"/>
          <w:sz w:val="24"/>
          <w:szCs w:val="24"/>
        </w:rPr>
        <w:t>минимума для пенсионеров (13 236</w:t>
      </w:r>
      <w:r w:rsidRPr="00880CE5">
        <w:rPr>
          <w:rFonts w:ascii="Times New Roman" w:hAnsi="Times New Roman"/>
          <w:sz w:val="24"/>
          <w:szCs w:val="24"/>
        </w:rPr>
        <w:t xml:space="preserve"> рублей). Рост среднемесячного размера пенсии </w:t>
      </w:r>
      <w:r w:rsidR="00E56B76" w:rsidRPr="00880CE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 аналогичному показателю</w:t>
      </w:r>
      <w:r w:rsidR="00E56B76" w:rsidRPr="00E56B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2020</w:t>
      </w:r>
      <w:r w:rsidR="00E56B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года 106,9</w:t>
      </w:r>
      <w:r w:rsidR="00E56B76" w:rsidRPr="00E56B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% (22 878,2</w:t>
      </w:r>
      <w:r w:rsidRPr="00E56B76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рублей).</w:t>
      </w:r>
      <w:r w:rsidRPr="009405F1">
        <w:rPr>
          <w:rFonts w:ascii="Times New Roman" w:eastAsia="Times New Roman" w:hAnsi="Times New Roman"/>
          <w:color w:val="FF0000"/>
          <w:kern w:val="2"/>
          <w:sz w:val="24"/>
          <w:szCs w:val="24"/>
          <w:lang w:eastAsia="ru-RU"/>
        </w:rPr>
        <w:t xml:space="preserve"> </w:t>
      </w:r>
    </w:p>
    <w:p w:rsidR="009405F1" w:rsidRPr="00880CE5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0CE5">
        <w:rPr>
          <w:rFonts w:ascii="Times New Roman" w:hAnsi="Times New Roman"/>
          <w:sz w:val="24"/>
          <w:szCs w:val="24"/>
        </w:rPr>
        <w:t>Средний размер пенси</w:t>
      </w:r>
      <w:r w:rsidR="00E56B76" w:rsidRPr="00880CE5">
        <w:rPr>
          <w:rFonts w:ascii="Times New Roman" w:hAnsi="Times New Roman"/>
          <w:sz w:val="24"/>
          <w:szCs w:val="24"/>
        </w:rPr>
        <w:t>й по возрасту составил 26 105,7</w:t>
      </w:r>
      <w:r w:rsidRPr="00880CE5">
        <w:rPr>
          <w:rFonts w:ascii="Times New Roman" w:hAnsi="Times New Roman"/>
          <w:sz w:val="24"/>
          <w:szCs w:val="24"/>
        </w:rPr>
        <w:t xml:space="preserve"> руб</w:t>
      </w:r>
      <w:r w:rsidR="00E56B76" w:rsidRPr="00880CE5">
        <w:rPr>
          <w:rFonts w:ascii="Times New Roman" w:hAnsi="Times New Roman"/>
          <w:sz w:val="24"/>
          <w:szCs w:val="24"/>
        </w:rPr>
        <w:t>лей, по инвалидности – 16 769,97</w:t>
      </w:r>
      <w:r w:rsidRPr="00880CE5">
        <w:rPr>
          <w:rFonts w:ascii="Times New Roman" w:hAnsi="Times New Roman"/>
          <w:sz w:val="24"/>
          <w:szCs w:val="24"/>
        </w:rPr>
        <w:t xml:space="preserve"> рублей, по слу</w:t>
      </w:r>
      <w:r w:rsidR="00E56B76" w:rsidRPr="00880CE5">
        <w:rPr>
          <w:rFonts w:ascii="Times New Roman" w:hAnsi="Times New Roman"/>
          <w:sz w:val="24"/>
          <w:szCs w:val="24"/>
        </w:rPr>
        <w:t>чаю потери кормильца – 12 047,25</w:t>
      </w:r>
      <w:r w:rsidRPr="00880CE5">
        <w:rPr>
          <w:rFonts w:ascii="Times New Roman" w:hAnsi="Times New Roman"/>
          <w:sz w:val="24"/>
          <w:szCs w:val="24"/>
        </w:rPr>
        <w:t xml:space="preserve"> рублей,</w:t>
      </w:r>
      <w:r w:rsidR="00880CE5" w:rsidRPr="00880CE5">
        <w:rPr>
          <w:rFonts w:ascii="Times New Roman" w:hAnsi="Times New Roman"/>
          <w:sz w:val="24"/>
          <w:szCs w:val="24"/>
        </w:rPr>
        <w:t xml:space="preserve"> социальные пенсии – 14 534,07</w:t>
      </w:r>
      <w:r w:rsidRPr="00880CE5">
        <w:rPr>
          <w:rFonts w:ascii="Times New Roman" w:hAnsi="Times New Roman"/>
          <w:sz w:val="24"/>
          <w:szCs w:val="24"/>
        </w:rPr>
        <w:t xml:space="preserve"> рублей.</w:t>
      </w:r>
    </w:p>
    <w:p w:rsidR="009405F1" w:rsidRPr="009405F1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color w:val="FF0000"/>
          <w:kern w:val="2"/>
          <w:sz w:val="24"/>
          <w:szCs w:val="24"/>
          <w:lang w:eastAsia="ru-RU"/>
        </w:rPr>
      </w:pPr>
    </w:p>
    <w:p w:rsidR="009405F1" w:rsidRPr="00434798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434798"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  <w:t>1.6. Потребительский рынок</w:t>
      </w:r>
    </w:p>
    <w:p w:rsidR="00E56B76" w:rsidRDefault="009405F1" w:rsidP="00E56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434798">
        <w:rPr>
          <w:rFonts w:ascii="Times New Roman" w:hAnsi="Times New Roman"/>
          <w:sz w:val="24"/>
          <w:szCs w:val="24"/>
          <w:lang w:eastAsia="ru-RU"/>
        </w:rPr>
        <w:t>Инфраструктура роз</w:t>
      </w:r>
      <w:r w:rsidR="00434798" w:rsidRPr="00434798">
        <w:rPr>
          <w:rFonts w:ascii="Times New Roman" w:hAnsi="Times New Roman"/>
          <w:sz w:val="24"/>
          <w:szCs w:val="24"/>
          <w:lang w:eastAsia="ru-RU"/>
        </w:rPr>
        <w:t>ничной торговли представлена 153</w:t>
      </w:r>
      <w:r w:rsidRPr="00434798">
        <w:rPr>
          <w:rFonts w:ascii="Times New Roman" w:hAnsi="Times New Roman"/>
          <w:sz w:val="24"/>
          <w:szCs w:val="24"/>
          <w:lang w:eastAsia="ru-RU"/>
        </w:rPr>
        <w:t xml:space="preserve"> объектами розничной се</w:t>
      </w:r>
      <w:r w:rsidR="00434798" w:rsidRPr="00434798">
        <w:rPr>
          <w:rFonts w:ascii="Times New Roman" w:hAnsi="Times New Roman"/>
          <w:sz w:val="24"/>
          <w:szCs w:val="24"/>
          <w:lang w:eastAsia="ru-RU"/>
        </w:rPr>
        <w:t>ти общей торговой площадью 7 590</w:t>
      </w:r>
      <w:r w:rsidRPr="00434798">
        <w:rPr>
          <w:rFonts w:ascii="Times New Roman" w:hAnsi="Times New Roman"/>
          <w:sz w:val="24"/>
          <w:szCs w:val="24"/>
          <w:lang w:eastAsia="ru-RU"/>
        </w:rPr>
        <w:t xml:space="preserve"> кв. метра. Наибольший удельный вес (более 50 процентов) приходится на магазины и павильоны со смешанным ассортиментом товаров. </w:t>
      </w:r>
    </w:p>
    <w:p w:rsidR="00E56B76" w:rsidRDefault="00E56B76" w:rsidP="00E56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E56B76">
        <w:rPr>
          <w:rFonts w:ascii="Times New Roman" w:hAnsi="Times New Roman"/>
          <w:sz w:val="24"/>
          <w:szCs w:val="24"/>
          <w:lang w:eastAsia="ru-RU"/>
        </w:rPr>
        <w:t>В 2021</w:t>
      </w:r>
      <w:r w:rsidR="009405F1" w:rsidRPr="00E56B76">
        <w:rPr>
          <w:rFonts w:ascii="Times New Roman" w:hAnsi="Times New Roman"/>
          <w:sz w:val="24"/>
          <w:szCs w:val="24"/>
          <w:lang w:eastAsia="ru-RU"/>
        </w:rPr>
        <w:t xml:space="preserve"> году на территории сельских поселений Ханты-Мансийского рай</w:t>
      </w:r>
      <w:r w:rsidRPr="00E56B76">
        <w:rPr>
          <w:rFonts w:ascii="Times New Roman" w:hAnsi="Times New Roman"/>
          <w:sz w:val="24"/>
          <w:szCs w:val="24"/>
          <w:lang w:eastAsia="ru-RU"/>
        </w:rPr>
        <w:t xml:space="preserve">она </w:t>
      </w:r>
      <w:r w:rsidRPr="00E56B76">
        <w:rPr>
          <w:rFonts w:ascii="Times New Roman" w:hAnsi="Times New Roman"/>
          <w:sz w:val="24"/>
          <w:szCs w:val="24"/>
          <w:lang w:eastAsia="ru-RU"/>
        </w:rPr>
        <w:lastRenderedPageBreak/>
        <w:t>организовано 202 ярмарочных дня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56B76">
        <w:rPr>
          <w:rFonts w:ascii="Times New Roman" w:hAnsi="Times New Roman"/>
          <w:sz w:val="24"/>
          <w:szCs w:val="24"/>
          <w:lang w:eastAsia="ru-RU"/>
        </w:rPr>
        <w:t>что на 12,8% больше по сравнению с 2020 годом (179 дней).</w:t>
      </w:r>
    </w:p>
    <w:p w:rsidR="00E56B76" w:rsidRDefault="00E56B76" w:rsidP="00E56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E56B76">
        <w:rPr>
          <w:rFonts w:ascii="Times New Roman" w:eastAsia="Times New Roman" w:hAnsi="Times New Roman"/>
          <w:sz w:val="24"/>
          <w:szCs w:val="24"/>
          <w:lang w:eastAsia="ru-RU"/>
        </w:rPr>
        <w:t>Оборот розничной торговли по полному 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предприятий </w:t>
      </w:r>
      <w:r w:rsidRPr="00E56B76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района по оценке за 2021 год составил 2 580 млн. рублей или 99,3% к аналогичному показателю 2020 года в сопоставимых ценах (2 472 млн. рублей).</w:t>
      </w:r>
      <w:r w:rsidRPr="00E56B7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56B7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расчете на 1 жителя оборот розничной торговли составил 93,6 тыс. рублей, что на 1,1% выше уровня 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E56B76">
        <w:rPr>
          <w:rFonts w:ascii="Times New Roman" w:eastAsia="Times New Roman" w:hAnsi="Times New Roman"/>
          <w:sz w:val="24"/>
          <w:szCs w:val="24"/>
          <w:lang w:eastAsia="ru-RU"/>
        </w:rPr>
        <w:t>(92,6 тыс. рублей).</w:t>
      </w:r>
    </w:p>
    <w:p w:rsidR="00E56B76" w:rsidRPr="00E56B76" w:rsidRDefault="00E56B76" w:rsidP="00E56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E56B76">
        <w:rPr>
          <w:rFonts w:ascii="Times New Roman" w:hAnsi="Times New Roman"/>
          <w:sz w:val="24"/>
          <w:szCs w:val="24"/>
          <w:lang w:eastAsia="ru-RU"/>
        </w:rPr>
        <w:t xml:space="preserve">По состоянию на 31 декабря 2021 года на территории района осуществляли деятельность 11 предприятий общественного питания общедоступной </w:t>
      </w:r>
      <w:proofErr w:type="gramStart"/>
      <w:r w:rsidRPr="00E56B76">
        <w:rPr>
          <w:rFonts w:ascii="Times New Roman" w:hAnsi="Times New Roman"/>
          <w:sz w:val="24"/>
          <w:szCs w:val="24"/>
          <w:lang w:eastAsia="ru-RU"/>
        </w:rPr>
        <w:t>сети</w:t>
      </w:r>
      <w:proofErr w:type="gramEnd"/>
      <w:r w:rsidRPr="00E56B76">
        <w:rPr>
          <w:rFonts w:ascii="Times New Roman" w:hAnsi="Times New Roman"/>
          <w:sz w:val="24"/>
          <w:szCs w:val="24"/>
          <w:lang w:eastAsia="ru-RU"/>
        </w:rPr>
        <w:t xml:space="preserve"> 7 из </w:t>
      </w:r>
      <w:proofErr w:type="gramStart"/>
      <w:r w:rsidRPr="00E56B76">
        <w:rPr>
          <w:rFonts w:ascii="Times New Roman" w:hAnsi="Times New Roman"/>
          <w:sz w:val="24"/>
          <w:szCs w:val="24"/>
          <w:lang w:eastAsia="ru-RU"/>
        </w:rPr>
        <w:t>которых</w:t>
      </w:r>
      <w:proofErr w:type="gramEnd"/>
      <w:r w:rsidRPr="00E56B76">
        <w:rPr>
          <w:rFonts w:ascii="Times New Roman" w:hAnsi="Times New Roman"/>
          <w:sz w:val="24"/>
          <w:szCs w:val="24"/>
          <w:lang w:eastAsia="ru-RU"/>
        </w:rPr>
        <w:t xml:space="preserve"> находятся в населенны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пунктах: </w:t>
      </w:r>
      <w:r w:rsidRPr="00E56B76">
        <w:rPr>
          <w:rFonts w:ascii="Times New Roman" w:hAnsi="Times New Roman"/>
          <w:sz w:val="24"/>
          <w:szCs w:val="24"/>
          <w:lang w:eastAsia="ru-RU"/>
        </w:rPr>
        <w:t xml:space="preserve">п. </w:t>
      </w:r>
      <w:proofErr w:type="spellStart"/>
      <w:r w:rsidRPr="00E56B76">
        <w:rPr>
          <w:rFonts w:ascii="Times New Roman" w:hAnsi="Times New Roman"/>
          <w:sz w:val="24"/>
          <w:szCs w:val="24"/>
          <w:lang w:eastAsia="ru-RU"/>
        </w:rPr>
        <w:t>Горноправдинск</w:t>
      </w:r>
      <w:proofErr w:type="spellEnd"/>
      <w:r w:rsidRPr="00E56B76">
        <w:rPr>
          <w:rFonts w:ascii="Times New Roman" w:hAnsi="Times New Roman"/>
          <w:sz w:val="24"/>
          <w:szCs w:val="24"/>
          <w:lang w:eastAsia="ru-RU"/>
        </w:rPr>
        <w:t xml:space="preserve">, с. </w:t>
      </w:r>
      <w:proofErr w:type="spellStart"/>
      <w:r w:rsidRPr="00E56B76">
        <w:rPr>
          <w:rFonts w:ascii="Times New Roman" w:hAnsi="Times New Roman"/>
          <w:sz w:val="24"/>
          <w:szCs w:val="24"/>
          <w:lang w:eastAsia="ru-RU"/>
        </w:rPr>
        <w:t>Цингалы</w:t>
      </w:r>
      <w:proofErr w:type="spellEnd"/>
      <w:r w:rsidRPr="00E56B76">
        <w:rPr>
          <w:rFonts w:ascii="Times New Roman" w:hAnsi="Times New Roman"/>
          <w:sz w:val="24"/>
          <w:szCs w:val="24"/>
          <w:lang w:eastAsia="ru-RU"/>
        </w:rPr>
        <w:t xml:space="preserve">, п. </w:t>
      </w:r>
      <w:proofErr w:type="spellStart"/>
      <w:r w:rsidRPr="00E56B76">
        <w:rPr>
          <w:rFonts w:ascii="Times New Roman" w:hAnsi="Times New Roman"/>
          <w:sz w:val="24"/>
          <w:szCs w:val="24"/>
          <w:lang w:eastAsia="ru-RU"/>
        </w:rPr>
        <w:t>Луговской</w:t>
      </w:r>
      <w:proofErr w:type="spellEnd"/>
      <w:r w:rsidRPr="00E56B76">
        <w:rPr>
          <w:rFonts w:ascii="Times New Roman" w:hAnsi="Times New Roman"/>
          <w:sz w:val="24"/>
          <w:szCs w:val="24"/>
          <w:lang w:eastAsia="ru-RU"/>
        </w:rPr>
        <w:t xml:space="preserve">, с. </w:t>
      </w:r>
      <w:proofErr w:type="spellStart"/>
      <w:r w:rsidRPr="00E56B76">
        <w:rPr>
          <w:rFonts w:ascii="Times New Roman" w:hAnsi="Times New Roman"/>
          <w:sz w:val="24"/>
          <w:szCs w:val="24"/>
          <w:lang w:eastAsia="ru-RU"/>
        </w:rPr>
        <w:t>Селиярово</w:t>
      </w:r>
      <w:proofErr w:type="spellEnd"/>
      <w:r w:rsidRPr="00E56B76">
        <w:rPr>
          <w:rFonts w:ascii="Times New Roman" w:hAnsi="Times New Roman"/>
          <w:sz w:val="24"/>
          <w:szCs w:val="24"/>
          <w:lang w:eastAsia="ru-RU"/>
        </w:rPr>
        <w:t>. Остальные четыре объекта питания расположены на межселенной территории района. Деятельность по оказанию услуг общественного питания</w:t>
      </w:r>
      <w:r w:rsidRPr="00E56B7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осуществляют </w:t>
      </w:r>
      <w:r w:rsidRPr="00E56B76">
        <w:rPr>
          <w:rFonts w:ascii="Times New Roman" w:hAnsi="Times New Roman"/>
          <w:sz w:val="24"/>
          <w:szCs w:val="24"/>
          <w:lang w:eastAsia="ru-RU"/>
        </w:rPr>
        <w:t>11 субъектов, из них 4 юридических лиц, 7 индивидуальных предпринимателей.</w:t>
      </w:r>
    </w:p>
    <w:p w:rsidR="00E56B76" w:rsidRPr="00E56B76" w:rsidRDefault="00E56B76" w:rsidP="00E56B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6B76">
        <w:rPr>
          <w:rFonts w:ascii="Times New Roman" w:eastAsia="Times New Roman" w:hAnsi="Times New Roman"/>
          <w:sz w:val="24"/>
          <w:szCs w:val="24"/>
          <w:lang w:eastAsia="ru-RU"/>
        </w:rPr>
        <w:t>Платные услуги, предоставляемые населени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на территории </w:t>
      </w:r>
      <w:r w:rsidRPr="00E56B76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района, являются результатом деятельности предприятий, организаций всех форм собственности и предназначены для удовлетворения личных потребностей населения по их заказам.</w:t>
      </w:r>
    </w:p>
    <w:p w:rsidR="00E56B76" w:rsidRPr="00E56B76" w:rsidRDefault="00E56B76" w:rsidP="00E56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6B76" w:rsidRPr="00E56B76" w:rsidRDefault="00E56B76" w:rsidP="00E56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6B76">
        <w:rPr>
          <w:rFonts w:ascii="Times New Roman" w:eastAsia="Times New Roman" w:hAnsi="Times New Roman"/>
          <w:sz w:val="24"/>
          <w:szCs w:val="24"/>
          <w:lang w:eastAsia="ru-RU"/>
        </w:rPr>
        <w:t>Динамика структуры индекса потребительских цен за 2021 год</w:t>
      </w:r>
    </w:p>
    <w:p w:rsidR="00E56B76" w:rsidRPr="00E56B76" w:rsidRDefault="00E56B76" w:rsidP="00E56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6B76" w:rsidRPr="00E56B76" w:rsidRDefault="00E56B76" w:rsidP="00E56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6B76">
        <w:rPr>
          <w:rFonts w:ascii="Times New Roman" w:eastAsia="Times New Roman" w:hAnsi="Times New Roman"/>
          <w:sz w:val="18"/>
          <w:szCs w:val="18"/>
          <w:lang w:eastAsia="ru-RU"/>
        </w:rPr>
        <w:t xml:space="preserve">в %, период с начала года </w:t>
      </w:r>
    </w:p>
    <w:p w:rsidR="00E56B76" w:rsidRDefault="00E56B76" w:rsidP="00E56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6B76">
        <w:rPr>
          <w:rFonts w:ascii="Times New Roman" w:eastAsia="Times New Roman" w:hAnsi="Times New Roman"/>
          <w:sz w:val="18"/>
          <w:szCs w:val="18"/>
          <w:lang w:eastAsia="ru-RU"/>
        </w:rPr>
        <w:t xml:space="preserve">к соответствующему периоду </w:t>
      </w:r>
    </w:p>
    <w:p w:rsidR="00E56B76" w:rsidRPr="00E56B76" w:rsidRDefault="00E56B76" w:rsidP="00E56B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56B76">
        <w:rPr>
          <w:rFonts w:ascii="Times New Roman" w:eastAsia="Times New Roman" w:hAnsi="Times New Roman"/>
          <w:sz w:val="18"/>
          <w:szCs w:val="18"/>
          <w:lang w:eastAsia="ru-RU"/>
        </w:rPr>
        <w:t>предыдущего года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5980"/>
        <w:gridCol w:w="3092"/>
      </w:tblGrid>
      <w:tr w:rsidR="00E56B76" w:rsidRPr="00E56B76" w:rsidTr="00E56B76">
        <w:tc>
          <w:tcPr>
            <w:tcW w:w="5980" w:type="dxa"/>
          </w:tcPr>
          <w:p w:rsidR="00E56B76" w:rsidRPr="00E56B76" w:rsidRDefault="00E56B76" w:rsidP="00E5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56B76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3092" w:type="dxa"/>
          </w:tcPr>
          <w:p w:rsidR="00E56B76" w:rsidRPr="00E56B76" w:rsidRDefault="00E56B76" w:rsidP="00E5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56B76">
              <w:rPr>
                <w:rFonts w:ascii="Times New Roman" w:hAnsi="Times New Roman"/>
                <w:lang w:eastAsia="ru-RU"/>
              </w:rPr>
              <w:t>Югра</w:t>
            </w:r>
          </w:p>
        </w:tc>
      </w:tr>
      <w:tr w:rsidR="00E56B76" w:rsidRPr="00E56B76" w:rsidTr="00E56B76">
        <w:tc>
          <w:tcPr>
            <w:tcW w:w="5980" w:type="dxa"/>
          </w:tcPr>
          <w:p w:rsidR="00E56B76" w:rsidRPr="00E56B76" w:rsidRDefault="00E56B76" w:rsidP="00E56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E56B76">
              <w:rPr>
                <w:rFonts w:ascii="Times New Roman" w:hAnsi="Times New Roman"/>
                <w:lang w:eastAsia="ru-RU"/>
              </w:rPr>
              <w:t>Все товары и услуги</w:t>
            </w:r>
          </w:p>
        </w:tc>
        <w:tc>
          <w:tcPr>
            <w:tcW w:w="3092" w:type="dxa"/>
          </w:tcPr>
          <w:p w:rsidR="00E56B76" w:rsidRPr="00E56B76" w:rsidRDefault="00E56B76" w:rsidP="00E5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56B76">
              <w:rPr>
                <w:rFonts w:ascii="Times New Roman" w:hAnsi="Times New Roman"/>
                <w:lang w:eastAsia="ru-RU"/>
              </w:rPr>
              <w:t>104,62</w:t>
            </w:r>
          </w:p>
        </w:tc>
      </w:tr>
      <w:tr w:rsidR="00E56B76" w:rsidRPr="00E56B76" w:rsidTr="00E56B76">
        <w:tc>
          <w:tcPr>
            <w:tcW w:w="5980" w:type="dxa"/>
          </w:tcPr>
          <w:p w:rsidR="00E56B76" w:rsidRPr="00E56B76" w:rsidRDefault="00E56B76" w:rsidP="00E56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E56B76">
              <w:rPr>
                <w:rFonts w:ascii="Times New Roman" w:hAnsi="Times New Roman"/>
                <w:lang w:eastAsia="ru-RU"/>
              </w:rPr>
              <w:t>Все товары (за исключением услуг)</w:t>
            </w:r>
          </w:p>
        </w:tc>
        <w:tc>
          <w:tcPr>
            <w:tcW w:w="3092" w:type="dxa"/>
          </w:tcPr>
          <w:p w:rsidR="00E56B76" w:rsidRPr="00E56B76" w:rsidRDefault="00E56B76" w:rsidP="00E5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56B76">
              <w:rPr>
                <w:rFonts w:ascii="Times New Roman" w:hAnsi="Times New Roman"/>
                <w:lang w:eastAsia="ru-RU"/>
              </w:rPr>
              <w:t>105,27</w:t>
            </w:r>
          </w:p>
        </w:tc>
      </w:tr>
      <w:tr w:rsidR="00E56B76" w:rsidRPr="00E56B76" w:rsidTr="00E56B76">
        <w:tc>
          <w:tcPr>
            <w:tcW w:w="5980" w:type="dxa"/>
          </w:tcPr>
          <w:p w:rsidR="00E56B76" w:rsidRPr="00E56B76" w:rsidRDefault="00E56B76" w:rsidP="00E56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E56B76">
              <w:rPr>
                <w:rFonts w:ascii="Times New Roman" w:hAnsi="Times New Roman"/>
                <w:lang w:eastAsia="ru-RU"/>
              </w:rPr>
              <w:t>Общественное питание</w:t>
            </w:r>
          </w:p>
        </w:tc>
        <w:tc>
          <w:tcPr>
            <w:tcW w:w="3092" w:type="dxa"/>
          </w:tcPr>
          <w:p w:rsidR="00E56B76" w:rsidRPr="00E56B76" w:rsidRDefault="00E56B76" w:rsidP="00E5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56B76">
              <w:rPr>
                <w:rFonts w:ascii="Times New Roman" w:hAnsi="Times New Roman"/>
                <w:lang w:eastAsia="ru-RU"/>
              </w:rPr>
              <w:t>102,24</w:t>
            </w:r>
          </w:p>
        </w:tc>
      </w:tr>
      <w:tr w:rsidR="00E56B76" w:rsidRPr="00E56B76" w:rsidTr="00E56B76">
        <w:tc>
          <w:tcPr>
            <w:tcW w:w="5980" w:type="dxa"/>
          </w:tcPr>
          <w:p w:rsidR="00E56B76" w:rsidRPr="00E56B76" w:rsidRDefault="00E56B76" w:rsidP="00E56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E56B76">
              <w:rPr>
                <w:rFonts w:ascii="Times New Roman" w:hAnsi="Times New Roman"/>
                <w:lang w:eastAsia="ru-RU"/>
              </w:rPr>
              <w:t>Услуги</w:t>
            </w:r>
          </w:p>
        </w:tc>
        <w:tc>
          <w:tcPr>
            <w:tcW w:w="3092" w:type="dxa"/>
          </w:tcPr>
          <w:p w:rsidR="00E56B76" w:rsidRPr="00E56B76" w:rsidRDefault="00E56B76" w:rsidP="00E56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56B76">
              <w:rPr>
                <w:rFonts w:ascii="Times New Roman" w:hAnsi="Times New Roman"/>
                <w:lang w:eastAsia="ru-RU"/>
              </w:rPr>
              <w:t>102,87</w:t>
            </w:r>
          </w:p>
        </w:tc>
      </w:tr>
    </w:tbl>
    <w:p w:rsidR="00E56B76" w:rsidRDefault="00E56B76" w:rsidP="00C16D9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D1D37" w:rsidRDefault="00AD1D37" w:rsidP="00C16D9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405F1" w:rsidRDefault="009405F1" w:rsidP="00C16D9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1.7.</w:t>
      </w:r>
      <w:proofErr w:type="gramStart"/>
      <w:r w:rsidRPr="00C16D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Криминогенная обстановка</w:t>
      </w:r>
      <w:proofErr w:type="gramEnd"/>
    </w:p>
    <w:p w:rsidR="009405F1" w:rsidRPr="00C16D97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/>
          <w:sz w:val="24"/>
          <w:szCs w:val="24"/>
          <w:lang w:eastAsia="ru-RU"/>
        </w:rPr>
        <w:t>В целях безопасности проживания граждан, защиты прав и свобод человека на территории Ханты-Мансийского района администрацией района принимаются меры, направленные на профилактику правонарушений</w:t>
      </w:r>
      <w:r w:rsidRPr="00C16D9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и обеспечение общественной безопасности.</w:t>
      </w:r>
    </w:p>
    <w:p w:rsidR="00573BFF" w:rsidRPr="00573BFF" w:rsidRDefault="00465271" w:rsidP="004652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1 января </w:t>
      </w:r>
      <w:r w:rsidR="00573BFF" w:rsidRPr="00573BFF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73BFF" w:rsidRPr="00573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BFF" w:rsidRPr="00573BFF">
        <w:rPr>
          <w:rFonts w:ascii="Times New Roman" w:eastAsia="Times New Roman" w:hAnsi="Times New Roman"/>
          <w:sz w:val="24"/>
          <w:szCs w:val="24"/>
          <w:lang w:eastAsia="zh-CN"/>
        </w:rPr>
        <w:t>штатная численность участковых уполномоченных полиции отделения по району отдела участковых уполномоченных полиции и по делам несовершеннолетних МОМВД Росси</w:t>
      </w:r>
      <w:r w:rsidR="00573BFF">
        <w:rPr>
          <w:rFonts w:ascii="Times New Roman" w:eastAsia="Times New Roman" w:hAnsi="Times New Roman"/>
          <w:sz w:val="24"/>
          <w:szCs w:val="24"/>
          <w:lang w:eastAsia="zh-CN"/>
        </w:rPr>
        <w:t>и «Ханты-Мансийский» составляет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73BFF" w:rsidRPr="00573BFF">
        <w:rPr>
          <w:rFonts w:ascii="Times New Roman" w:eastAsia="Times New Roman" w:hAnsi="Times New Roman"/>
          <w:sz w:val="24"/>
          <w:szCs w:val="24"/>
          <w:lang w:eastAsia="zh-CN"/>
        </w:rPr>
        <w:t>17 сотру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дников и 1 начальник отделения,</w:t>
      </w:r>
      <w:r w:rsidR="00573BFF" w:rsidRPr="00573B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фактическая </w:t>
      </w:r>
      <w:r w:rsidR="00573BFF" w:rsidRPr="00573BFF">
        <w:rPr>
          <w:rFonts w:ascii="Times New Roman" w:eastAsia="Times New Roman" w:hAnsi="Times New Roman"/>
          <w:sz w:val="24"/>
          <w:szCs w:val="24"/>
          <w:lang w:eastAsia="zh-CN"/>
        </w:rPr>
        <w:t>численность сотрудников полиции осуществляющих охрану общественного порядка на территории района на постоянной основе составляет – 15 единиц (2020 год – 14 единиц).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73BFF" w:rsidRPr="00573BFF">
        <w:rPr>
          <w:rFonts w:ascii="Times New Roman" w:eastAsia="Times New Roman" w:hAnsi="Times New Roman"/>
          <w:color w:val="0070C0"/>
          <w:sz w:val="24"/>
          <w:szCs w:val="24"/>
          <w:lang w:eastAsia="zh-CN"/>
        </w:rPr>
        <w:t xml:space="preserve"> </w:t>
      </w:r>
      <w:proofErr w:type="gramEnd"/>
    </w:p>
    <w:p w:rsidR="00573BFF" w:rsidRPr="00573BFF" w:rsidRDefault="00573BFF" w:rsidP="00573B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BFF">
        <w:rPr>
          <w:rFonts w:ascii="Times New Roman" w:hAnsi="Times New Roman"/>
          <w:sz w:val="24"/>
          <w:szCs w:val="24"/>
        </w:rPr>
        <w:t xml:space="preserve">Численность граждан, участвующих в работе добровольных формирований по охране общественного порядка в населенных пунктах Ханты-Мансийского района составляет 47 человек (2020 год – 52 человека). </w:t>
      </w:r>
    </w:p>
    <w:p w:rsidR="00573BFF" w:rsidRPr="00573BFF" w:rsidRDefault="00573BFF" w:rsidP="00573B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>С целью профилактики тяжких и особо тяжких преступлений, совершенных на бытовой почве, в том числе против личности, на территории Ханты-Мансийского района был проведен ряд профилактических мероприятий: «</w:t>
      </w:r>
      <w:proofErr w:type="spellStart"/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>Микроучасток</w:t>
      </w:r>
      <w:proofErr w:type="spellEnd"/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>», «Улица», «Профилактика», «Надзор», «</w:t>
      </w:r>
      <w:proofErr w:type="spellStart"/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>Условник</w:t>
      </w:r>
      <w:proofErr w:type="spellEnd"/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>», «Рецидив», в ходе которых была проведена отработка жилого сектора с точечным воздействием и отработкой адресов, имеющих профилактический интерес.</w:t>
      </w:r>
    </w:p>
    <w:p w:rsidR="00573BFF" w:rsidRPr="00573BFF" w:rsidRDefault="00573BFF" w:rsidP="00573B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Принятыми мерами профилактического характера удалось добиться снижения количества совершенных преступлений с 234 единиц за 2020 год до 214 единиц за 2021 год, или на 8,5%.</w:t>
      </w:r>
      <w:r w:rsidRPr="00573BFF">
        <w:rPr>
          <w:rFonts w:ascii="Times New Roman" w:eastAsia="Times New Roman" w:hAnsi="Times New Roman"/>
          <w:color w:val="0070C0"/>
          <w:sz w:val="24"/>
          <w:szCs w:val="24"/>
          <w:lang w:eastAsia="zh-CN"/>
        </w:rPr>
        <w:t xml:space="preserve"> </w:t>
      </w:r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 xml:space="preserve">В том числе, за 2021 год не зафиксировано ни одного преступления, совершенных несовершеннолетними (2020 год </w:t>
      </w:r>
      <w:r w:rsidRPr="00573BFF">
        <w:rPr>
          <w:rFonts w:ascii="Times New Roman" w:eastAsia="Times New Roman" w:hAnsi="Times New Roman"/>
          <w:sz w:val="24"/>
          <w:szCs w:val="24"/>
          <w:lang w:val="x-none" w:eastAsia="x-none"/>
        </w:rPr>
        <w:t>–</w:t>
      </w:r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 xml:space="preserve"> 4 единицы). </w:t>
      </w:r>
    </w:p>
    <w:p w:rsidR="00573BFF" w:rsidRPr="00573BFF" w:rsidRDefault="00573BFF" w:rsidP="00573B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 xml:space="preserve">Произошло снижение преступлений, совершенных лицами, ранее совершавшими преступления с 48 единиц до 39, или на 18,8%, тяжких и особо тяжких с 35 единиц до 33, или </w:t>
      </w:r>
      <w:proofErr w:type="gramStart"/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proofErr w:type="gramEnd"/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 xml:space="preserve"> 5,7%.  </w:t>
      </w:r>
    </w:p>
    <w:p w:rsidR="00573BFF" w:rsidRPr="00573BFF" w:rsidRDefault="00573BFF" w:rsidP="00573B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>Вместе с тем, произошел рост совершенных преступлений:</w:t>
      </w:r>
    </w:p>
    <w:p w:rsidR="00573BFF" w:rsidRPr="00573BFF" w:rsidRDefault="00573BFF" w:rsidP="00573B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связанных с незаконным оборотом наркотических</w:t>
      </w:r>
      <w:r w:rsidR="00465271">
        <w:rPr>
          <w:rFonts w:ascii="Times New Roman" w:eastAsia="Times New Roman" w:hAnsi="Times New Roman"/>
          <w:sz w:val="24"/>
          <w:szCs w:val="24"/>
          <w:lang w:eastAsia="x-none"/>
        </w:rPr>
        <w:t xml:space="preserve"> средств с 3 до 6 единиц</w:t>
      </w: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. Рост преступлений произошел в результате увеличения количества профилактических и досмотровых мероприятий, проводимых сотрудниками ДПС;</w:t>
      </w:r>
    </w:p>
    <w:p w:rsidR="00573BFF" w:rsidRPr="00573BFF" w:rsidRDefault="00573BFF" w:rsidP="00573B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экологических с 18 до 21 единиц (+16,7%). Рост произошел в результате проводимых мероприятий по пресечению преступлений в области незаконной добычи водных биоресурсов;</w:t>
      </w:r>
    </w:p>
    <w:p w:rsidR="00573BFF" w:rsidRPr="00573BFF" w:rsidRDefault="00573BFF" w:rsidP="00573B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с применением оружия с 1 до 2 единиц (+50%).</w:t>
      </w:r>
    </w:p>
    <w:p w:rsidR="00573BFF" w:rsidRPr="00573BFF" w:rsidRDefault="00573BFF" w:rsidP="004652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С целью выявления и пресечения незаконной миграции был проведен ряд профилактических мероприятий: «Нелегальный мигрант», «Мигрант», «Наемник». Проведено проверок по незаконной мигр</w:t>
      </w:r>
      <w:r w:rsidR="00465271">
        <w:rPr>
          <w:rFonts w:ascii="Times New Roman" w:eastAsia="Times New Roman" w:hAnsi="Times New Roman"/>
          <w:sz w:val="24"/>
          <w:szCs w:val="24"/>
          <w:lang w:eastAsia="x-none"/>
        </w:rPr>
        <w:t xml:space="preserve">ации иностранных граждан 149 (2020 год – </w:t>
      </w: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132). Выявлено административных правонаруш</w:t>
      </w:r>
      <w:r w:rsidR="00465271">
        <w:rPr>
          <w:rFonts w:ascii="Times New Roman" w:eastAsia="Times New Roman" w:hAnsi="Times New Roman"/>
          <w:sz w:val="24"/>
          <w:szCs w:val="24"/>
          <w:lang w:eastAsia="x-none"/>
        </w:rPr>
        <w:t>ений по главе 18 КоАП РФ – 7 (2020 год – 12)</w:t>
      </w: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 xml:space="preserve">. Причинами снижения являются введенные в стране ограничительные меры из-за распространения </w:t>
      </w:r>
      <w:proofErr w:type="spellStart"/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коронавируной</w:t>
      </w:r>
      <w:proofErr w:type="spellEnd"/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 xml:space="preserve"> инфекции (</w:t>
      </w:r>
      <w:r w:rsidRPr="00573BFF">
        <w:rPr>
          <w:rFonts w:ascii="Times New Roman" w:eastAsia="Times New Roman" w:hAnsi="Times New Roman"/>
          <w:i/>
          <w:sz w:val="24"/>
          <w:szCs w:val="24"/>
          <w:lang w:eastAsia="x-none"/>
        </w:rPr>
        <w:t>закрытие границ</w:t>
      </w: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 xml:space="preserve">), но при этом произошел рост выявленных преступлений по ст.ст.322.2, 322.3 УК РФ с 0 до 9 единиц. </w:t>
      </w:r>
    </w:p>
    <w:p w:rsidR="00573BFF" w:rsidRPr="00573BFF" w:rsidRDefault="00573BFF" w:rsidP="00573B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73BFF">
        <w:rPr>
          <w:rFonts w:ascii="Times New Roman" w:hAnsi="Times New Roman"/>
          <w:bCs/>
          <w:sz w:val="24"/>
          <w:szCs w:val="24"/>
        </w:rPr>
        <w:t>Несмотря на все принимаемые меры, достаточно остро стоит проблема дорожно-транспортных происшествий, которых зарегистрировано в отчетном периоде – 46 единиц (</w:t>
      </w:r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 xml:space="preserve">2020 год – </w:t>
      </w:r>
      <w:r w:rsidRPr="00573BFF">
        <w:rPr>
          <w:rFonts w:ascii="Times New Roman" w:hAnsi="Times New Roman"/>
          <w:bCs/>
          <w:sz w:val="24"/>
          <w:szCs w:val="24"/>
        </w:rPr>
        <w:t>41 единица), увеличение составило 13%,</w:t>
      </w:r>
      <w:r w:rsidRPr="00573BFF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погибли 6 человек (2020 год – 8) и 62</w:t>
      </w:r>
      <w:r w:rsidR="00465271">
        <w:rPr>
          <w:rFonts w:ascii="Times New Roman" w:eastAsia="Times New Roman" w:hAnsi="Times New Roman"/>
          <w:sz w:val="24"/>
          <w:szCs w:val="24"/>
          <w:lang w:eastAsia="x-none"/>
        </w:rPr>
        <w:t xml:space="preserve"> человека травмировано </w:t>
      </w: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(2020 год – 71). Тяжесть последствий составила 4,1%, (2020 год – 3,9%).</w:t>
      </w:r>
    </w:p>
    <w:p w:rsidR="00573BFF" w:rsidRPr="00573BFF" w:rsidRDefault="00573BFF" w:rsidP="00573B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73B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большинстве случаев ДТП происходят вне населенных пунктов района – </w:t>
      </w:r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>40 ДТП зарегистрировано на федеральных и региональных дорогах Ханты-Мансийского района,</w:t>
      </w:r>
      <w:r w:rsidRPr="00573BFF">
        <w:rPr>
          <w:rFonts w:ascii="Times New Roman" w:eastAsia="Times New Roman" w:hAnsi="Times New Roman"/>
          <w:color w:val="0070C0"/>
          <w:sz w:val="24"/>
          <w:szCs w:val="24"/>
          <w:lang w:eastAsia="zh-CN"/>
        </w:rPr>
        <w:t xml:space="preserve"> </w:t>
      </w: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 xml:space="preserve">6 на территории населенных пунктов: </w:t>
      </w:r>
      <w:proofErr w:type="spellStart"/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Горноправдинск</w:t>
      </w:r>
      <w:proofErr w:type="spellEnd"/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 xml:space="preserve"> (3), </w:t>
      </w:r>
      <w:proofErr w:type="spellStart"/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Кышик</w:t>
      </w:r>
      <w:proofErr w:type="spellEnd"/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 xml:space="preserve"> (1), Сибирский (1), </w:t>
      </w:r>
      <w:proofErr w:type="spellStart"/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Нялинское</w:t>
      </w:r>
      <w:proofErr w:type="spellEnd"/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 xml:space="preserve"> (1).</w:t>
      </w:r>
    </w:p>
    <w:p w:rsidR="00573BFF" w:rsidRPr="00573BFF" w:rsidRDefault="00573BFF" w:rsidP="00573B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 xml:space="preserve">Из 40 ДТП со смертельным исходом – 6 случаев (2020 год – 8), все случаи </w:t>
      </w:r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>зарегистрированы на федеральных и регионал</w:t>
      </w:r>
      <w:r w:rsidR="00465271">
        <w:rPr>
          <w:rFonts w:ascii="Times New Roman" w:eastAsia="Times New Roman" w:hAnsi="Times New Roman"/>
          <w:sz w:val="24"/>
          <w:szCs w:val="24"/>
          <w:lang w:eastAsia="zh-CN"/>
        </w:rPr>
        <w:t xml:space="preserve">ьных дорогах </w:t>
      </w:r>
      <w:r w:rsidRPr="00573BFF">
        <w:rPr>
          <w:rFonts w:ascii="Times New Roman" w:eastAsia="Times New Roman" w:hAnsi="Times New Roman"/>
          <w:sz w:val="24"/>
          <w:szCs w:val="24"/>
          <w:lang w:eastAsia="zh-CN"/>
        </w:rPr>
        <w:t>Ханты-Мансийского района.</w:t>
      </w:r>
    </w:p>
    <w:p w:rsidR="00573BFF" w:rsidRPr="00573BFF" w:rsidRDefault="00573BFF" w:rsidP="00573B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3BFF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профилактики нарушений правил дорожного движения, а также предотвращения и профилактики совершения дорожно-транспортных происшествий на территории Ханты-Мансийского района сотрудниками ОГИБДД на постоянной основе осуществляются рейдовые мероприятия в населенные пункты района, за </w:t>
      </w: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12 месяцев 2021 года</w:t>
      </w:r>
      <w:r w:rsidR="00465271">
        <w:rPr>
          <w:rFonts w:ascii="Times New Roman" w:eastAsia="Times New Roman" w:hAnsi="Times New Roman"/>
          <w:sz w:val="24"/>
          <w:szCs w:val="24"/>
          <w:lang w:eastAsia="x-none"/>
        </w:rPr>
        <w:t xml:space="preserve"> было осуществлено </w:t>
      </w:r>
      <w:r w:rsidRPr="00573BFF">
        <w:rPr>
          <w:rFonts w:ascii="Times New Roman" w:eastAsia="Times New Roman" w:hAnsi="Times New Roman"/>
          <w:sz w:val="24"/>
          <w:szCs w:val="24"/>
          <w:lang w:eastAsia="x-none"/>
        </w:rPr>
        <w:t>28 выездов.</w:t>
      </w:r>
      <w:r w:rsidRPr="00573B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73BFF" w:rsidRPr="00573BFF" w:rsidRDefault="00573BFF" w:rsidP="00573BF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3BFF">
        <w:rPr>
          <w:rFonts w:ascii="Times New Roman" w:eastAsia="Times New Roman" w:hAnsi="Times New Roman"/>
          <w:i/>
          <w:sz w:val="24"/>
          <w:szCs w:val="24"/>
          <w:lang w:eastAsia="ru-RU"/>
        </w:rPr>
        <w:t>Деятельность органов и учреждений системы профилактики безнадзорности и правонарушений несовершеннолетних</w:t>
      </w:r>
    </w:p>
    <w:p w:rsidR="00573BFF" w:rsidRPr="00573BFF" w:rsidRDefault="00573BFF" w:rsidP="00573B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BFF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Сравнительный анализ статистических данных за 2021 год </w:t>
      </w:r>
      <w:r w:rsidRPr="00573BF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отношению к 2020 году свидетельствует о следующих изменениях: </w:t>
      </w:r>
    </w:p>
    <w:p w:rsidR="00573BFF" w:rsidRPr="00573BFF" w:rsidRDefault="00573BFF" w:rsidP="00573B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5224"/>
        <w:gridCol w:w="1418"/>
        <w:gridCol w:w="1257"/>
        <w:gridCol w:w="1276"/>
      </w:tblGrid>
      <w:tr w:rsidR="00573BFF" w:rsidRPr="00573BFF" w:rsidTr="00E56B76">
        <w:trPr>
          <w:trHeight w:val="20"/>
          <w:jc w:val="center"/>
        </w:trPr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Единицы</w:t>
            </w:r>
          </w:p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 января</w:t>
            </w:r>
          </w:p>
        </w:tc>
      </w:tr>
      <w:tr w:rsidR="00573BFF" w:rsidRPr="00573BFF" w:rsidTr="00E56B76">
        <w:trPr>
          <w:trHeight w:val="20"/>
          <w:jc w:val="center"/>
        </w:trPr>
        <w:tc>
          <w:tcPr>
            <w:tcW w:w="52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D42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D42E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573BFF" w:rsidRPr="00573BFF" w:rsidTr="00E56B76">
        <w:trPr>
          <w:trHeight w:val="20"/>
          <w:jc w:val="center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рассмотренных административных дел по защите прав и законных интересов несовершеннолетних граждан  с начала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</w:tr>
      <w:tr w:rsidR="00573BFF" w:rsidRPr="00573BFF" w:rsidTr="00E56B76">
        <w:trPr>
          <w:trHeight w:val="20"/>
          <w:jc w:val="center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правонарушений с участием несовершеннолетних с начала года – всего,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573BFF" w:rsidRPr="00573BFF" w:rsidTr="00E56B76">
        <w:trPr>
          <w:trHeight w:val="20"/>
          <w:jc w:val="center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73BFF" w:rsidRPr="00573BFF" w:rsidTr="00E56B76">
        <w:trPr>
          <w:trHeight w:val="20"/>
          <w:jc w:val="center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общественно опасных деяний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573BFF" w:rsidRPr="00573BFF" w:rsidTr="00E56B76">
        <w:trPr>
          <w:trHeight w:val="20"/>
          <w:jc w:val="center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административных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73BFF" w:rsidRPr="00573BFF" w:rsidTr="00E56B76">
        <w:trPr>
          <w:trHeight w:val="20"/>
          <w:jc w:val="center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рассмотренных жалоб и заявлений с начала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573BFF" w:rsidRPr="00573BFF" w:rsidTr="00E56B76">
        <w:trPr>
          <w:trHeight w:val="20"/>
          <w:jc w:val="center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несовершеннолетних, состоящих на учете на конец отчетного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573BFF" w:rsidRPr="00573BFF" w:rsidTr="00E56B76">
        <w:trPr>
          <w:trHeight w:val="20"/>
          <w:jc w:val="center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семей, не обеспечивающих надлежащих условий для воспитания детей, на конец отчетного 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FF" w:rsidRPr="00573BFF" w:rsidRDefault="00573BFF" w:rsidP="00573B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3B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573BFF" w:rsidRPr="00573BFF" w:rsidRDefault="00573BFF" w:rsidP="00573BF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73BFF" w:rsidRPr="00573BFF" w:rsidRDefault="00573BFF" w:rsidP="00573B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BFF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сравнении с аналогичным периодом прошлого года увеличилось количество правонарушений за ненадлежащее исполнение обязанностей по воспитанию, содержанию, обучению, защите прав и интересов несовершеннолетних, что связано с организацией раннего выявления семей, находящихся в социально опасном положении и организацией ранней индивидуальной профилактической работы. </w:t>
      </w:r>
    </w:p>
    <w:p w:rsidR="00573BFF" w:rsidRPr="00573BFF" w:rsidRDefault="00573BFF" w:rsidP="00573B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3BFF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роста выявленных административных правонарушений, преступлений, общественно опасных деяний совершенных несовершеннолетними </w:t>
      </w:r>
      <w:proofErr w:type="gramStart"/>
      <w:r w:rsidRPr="00573BFF">
        <w:rPr>
          <w:rFonts w:ascii="Times New Roman" w:eastAsia="Times New Roman" w:hAnsi="Times New Roman"/>
          <w:sz w:val="24"/>
          <w:szCs w:val="24"/>
          <w:lang w:eastAsia="ru-RU"/>
        </w:rPr>
        <w:t>связан</w:t>
      </w:r>
      <w:proofErr w:type="gramEnd"/>
      <w:r w:rsidRPr="00573BFF">
        <w:rPr>
          <w:rFonts w:ascii="Times New Roman" w:eastAsia="Times New Roman" w:hAnsi="Times New Roman"/>
          <w:sz w:val="24"/>
          <w:szCs w:val="24"/>
          <w:lang w:eastAsia="ru-RU"/>
        </w:rPr>
        <w:t xml:space="preserve"> с тем, что на территории Ханты-Мансийского района активно ведётся работа по профилактике преступлений, правонарушений несовершеннолетних. </w:t>
      </w:r>
      <w:r w:rsidRPr="00573BFF">
        <w:rPr>
          <w:rFonts w:ascii="Times New Roman" w:hAnsi="Times New Roman"/>
          <w:sz w:val="24"/>
          <w:szCs w:val="24"/>
        </w:rPr>
        <w:t xml:space="preserve">В период с </w:t>
      </w:r>
      <w:r w:rsidR="00D42E26">
        <w:rPr>
          <w:rFonts w:ascii="Times New Roman" w:hAnsi="Times New Roman"/>
          <w:sz w:val="24"/>
          <w:szCs w:val="24"/>
        </w:rPr>
        <w:t xml:space="preserve">января по декабрь </w:t>
      </w:r>
      <w:r w:rsidRPr="00573BFF">
        <w:rPr>
          <w:rFonts w:ascii="Times New Roman" w:hAnsi="Times New Roman"/>
          <w:sz w:val="24"/>
          <w:szCs w:val="24"/>
        </w:rPr>
        <w:t>2021 года привлечён 1 несовершеннолетний к административной ответственности несовершеннолетних по ст. 19.16 КоАП РФ (умышленная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небрежности).</w:t>
      </w:r>
    </w:p>
    <w:p w:rsidR="00573BFF" w:rsidRPr="00573BFF" w:rsidRDefault="00573BFF" w:rsidP="00573BF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3BFF">
        <w:rPr>
          <w:rFonts w:ascii="Times New Roman" w:eastAsia="Times New Roman" w:hAnsi="Times New Roman"/>
          <w:sz w:val="24"/>
          <w:szCs w:val="24"/>
          <w:lang w:eastAsia="ru-RU"/>
        </w:rPr>
        <w:t>За 2021 года в детскую общественную приёмну</w:t>
      </w:r>
      <w:r w:rsidR="00D42E26">
        <w:rPr>
          <w:rFonts w:ascii="Times New Roman" w:eastAsia="Times New Roman" w:hAnsi="Times New Roman"/>
          <w:sz w:val="24"/>
          <w:szCs w:val="24"/>
          <w:lang w:eastAsia="ru-RU"/>
        </w:rPr>
        <w:t xml:space="preserve">ю поступили </w:t>
      </w:r>
      <w:r w:rsidRPr="00573BFF">
        <w:rPr>
          <w:rFonts w:ascii="Times New Roman" w:eastAsia="Times New Roman" w:hAnsi="Times New Roman"/>
          <w:sz w:val="24"/>
          <w:szCs w:val="24"/>
          <w:lang w:eastAsia="ru-RU"/>
        </w:rPr>
        <w:t>17 обращений граждан. О</w:t>
      </w:r>
      <w:r w:rsidRPr="00573BF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бращения граждан рассмотрены в установленные сроки без нарушений. </w:t>
      </w:r>
    </w:p>
    <w:p w:rsidR="009405F1" w:rsidRPr="009405F1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/>
          <w:color w:val="FF0000"/>
          <w:sz w:val="24"/>
          <w:szCs w:val="24"/>
          <w:lang w:eastAsia="ru-RU"/>
        </w:rPr>
      </w:pPr>
    </w:p>
    <w:p w:rsidR="009405F1" w:rsidRPr="00D42E26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r w:rsidRPr="00D42E26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  <w:t xml:space="preserve">1.8.Состояние жилищного фонда    </w:t>
      </w:r>
    </w:p>
    <w:p w:rsidR="009405F1" w:rsidRPr="00862EFB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62EFB">
        <w:rPr>
          <w:rFonts w:ascii="Times New Roman" w:eastAsia="Times New Roman" w:hAnsi="Times New Roman"/>
          <w:sz w:val="24"/>
          <w:szCs w:val="24"/>
          <w:lang w:eastAsia="zh-CN"/>
        </w:rPr>
        <w:t>Улучшение жилищных условий жителей Ханты-Мансийского района осуществляется в рамках реализации двух муниципальных программ:</w:t>
      </w:r>
    </w:p>
    <w:p w:rsidR="009405F1" w:rsidRPr="00862EFB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62EFB">
        <w:rPr>
          <w:rFonts w:ascii="Times New Roman" w:hAnsi="Times New Roman"/>
          <w:bCs/>
          <w:sz w:val="24"/>
          <w:szCs w:val="24"/>
        </w:rPr>
        <w:t>«Подготовка перспективных территорий для развития жилищного строительства Ханты-Мансийского района на 2019 – 2023 годы»;</w:t>
      </w:r>
    </w:p>
    <w:p w:rsidR="009405F1" w:rsidRPr="00862EFB" w:rsidRDefault="009405F1" w:rsidP="009405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62EFB">
        <w:rPr>
          <w:rFonts w:ascii="Times New Roman" w:hAnsi="Times New Roman"/>
          <w:sz w:val="24"/>
          <w:szCs w:val="24"/>
          <w:lang w:eastAsia="ru-RU"/>
        </w:rPr>
        <w:t>«Улучшение жилищных условий жителей Ханты-Мансийского района на 2019 – 2023 годы».</w:t>
      </w:r>
    </w:p>
    <w:p w:rsidR="009405F1" w:rsidRPr="005527AA" w:rsidRDefault="009405F1" w:rsidP="009405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527AA">
        <w:rPr>
          <w:rFonts w:ascii="Times New Roman" w:eastAsia="Times New Roman" w:hAnsi="Times New Roman"/>
          <w:sz w:val="24"/>
          <w:szCs w:val="24"/>
        </w:rPr>
        <w:t>По предварительным данным объем жилищного фонда Ханты-Мансийского райо</w:t>
      </w:r>
      <w:r w:rsidR="003A5F1B" w:rsidRPr="005527AA">
        <w:rPr>
          <w:rFonts w:ascii="Times New Roman" w:eastAsia="Times New Roman" w:hAnsi="Times New Roman"/>
          <w:sz w:val="24"/>
          <w:szCs w:val="24"/>
        </w:rPr>
        <w:t>на по состоянию на 1 января 2022</w:t>
      </w:r>
      <w:r w:rsidR="005527AA" w:rsidRPr="005527AA">
        <w:rPr>
          <w:rFonts w:ascii="Times New Roman" w:eastAsia="Times New Roman" w:hAnsi="Times New Roman"/>
          <w:sz w:val="24"/>
          <w:szCs w:val="24"/>
        </w:rPr>
        <w:t xml:space="preserve"> года составляет 445,3</w:t>
      </w:r>
      <w:r w:rsidRPr="005527AA">
        <w:rPr>
          <w:rFonts w:ascii="Times New Roman" w:eastAsia="Times New Roman" w:hAnsi="Times New Roman"/>
          <w:sz w:val="24"/>
          <w:szCs w:val="24"/>
        </w:rPr>
        <w:t xml:space="preserve"> ты</w:t>
      </w:r>
      <w:r w:rsidR="005527AA" w:rsidRPr="005527AA">
        <w:rPr>
          <w:rFonts w:ascii="Times New Roman" w:eastAsia="Times New Roman" w:hAnsi="Times New Roman"/>
          <w:sz w:val="24"/>
          <w:szCs w:val="24"/>
        </w:rPr>
        <w:t>с. кв. метров, в том числе 344,3 тыс. кв. метров или 77,3</w:t>
      </w:r>
      <w:r w:rsidRPr="005527AA">
        <w:rPr>
          <w:rFonts w:ascii="Times New Roman" w:eastAsia="Times New Roman" w:hAnsi="Times New Roman"/>
          <w:sz w:val="24"/>
          <w:szCs w:val="24"/>
        </w:rPr>
        <w:t xml:space="preserve">% это жилой фонд частной формы собственности. </w:t>
      </w:r>
    </w:p>
    <w:p w:rsidR="009405F1" w:rsidRPr="009405F1" w:rsidRDefault="009405F1" w:rsidP="009405F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proofErr w:type="gramStart"/>
      <w:r w:rsidRPr="00F16FA4">
        <w:rPr>
          <w:rFonts w:ascii="Times New Roman" w:eastAsia="Times New Roman" w:hAnsi="Times New Roman"/>
          <w:sz w:val="24"/>
          <w:szCs w:val="24"/>
        </w:rPr>
        <w:t>По предварительным да</w:t>
      </w:r>
      <w:r w:rsidR="00F16FA4" w:rsidRPr="00F16FA4">
        <w:rPr>
          <w:rFonts w:ascii="Times New Roman" w:eastAsia="Times New Roman" w:hAnsi="Times New Roman"/>
          <w:sz w:val="24"/>
          <w:szCs w:val="24"/>
        </w:rPr>
        <w:t>нным, по состоянию на 01.01.2022</w:t>
      </w:r>
      <w:r w:rsidRPr="00F16FA4">
        <w:rPr>
          <w:rFonts w:ascii="Times New Roman" w:eastAsia="Times New Roman" w:hAnsi="Times New Roman"/>
          <w:sz w:val="24"/>
          <w:szCs w:val="24"/>
        </w:rPr>
        <w:t xml:space="preserve"> жилой фонд, непригодный д</w:t>
      </w:r>
      <w:r w:rsidR="00F16FA4" w:rsidRPr="00F16FA4">
        <w:rPr>
          <w:rFonts w:ascii="Times New Roman" w:eastAsia="Times New Roman" w:hAnsi="Times New Roman"/>
          <w:sz w:val="24"/>
          <w:szCs w:val="24"/>
        </w:rPr>
        <w:t xml:space="preserve">ля проживания (включая </w:t>
      </w:r>
      <w:r w:rsidRPr="00F16FA4">
        <w:rPr>
          <w:rFonts w:ascii="Times New Roman" w:eastAsia="Times New Roman" w:hAnsi="Times New Roman"/>
          <w:sz w:val="24"/>
          <w:szCs w:val="24"/>
        </w:rPr>
        <w:t>аварийный муниципальный жилой фонд, а также частный жилой фонд, непригодный</w:t>
      </w:r>
      <w:r w:rsidR="00F16FA4" w:rsidRPr="00F16FA4">
        <w:rPr>
          <w:rFonts w:ascii="Times New Roman" w:eastAsia="Times New Roman" w:hAnsi="Times New Roman"/>
          <w:sz w:val="24"/>
          <w:szCs w:val="24"/>
        </w:rPr>
        <w:t xml:space="preserve"> для проживания) составляет – 65,3</w:t>
      </w:r>
      <w:r w:rsidRPr="00F16FA4">
        <w:rPr>
          <w:rFonts w:ascii="Times New Roman" w:eastAsia="Times New Roman" w:hAnsi="Times New Roman"/>
          <w:sz w:val="24"/>
          <w:szCs w:val="24"/>
        </w:rPr>
        <w:t xml:space="preserve"> тыс. кв. </w:t>
      </w:r>
      <w:r w:rsidR="00F16FA4" w:rsidRPr="00F16FA4">
        <w:rPr>
          <w:rFonts w:ascii="Times New Roman" w:eastAsia="Times New Roman" w:hAnsi="Times New Roman"/>
          <w:sz w:val="24"/>
          <w:szCs w:val="24"/>
        </w:rPr>
        <w:t>метров, что выше показателя 2020</w:t>
      </w:r>
      <w:r w:rsidRPr="00F16F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52117">
        <w:rPr>
          <w:rFonts w:ascii="Times New Roman" w:eastAsia="Times New Roman" w:hAnsi="Times New Roman"/>
          <w:sz w:val="24"/>
          <w:szCs w:val="24"/>
        </w:rPr>
        <w:t>года</w:t>
      </w:r>
      <w:r w:rsidR="00552117" w:rsidRPr="00552117">
        <w:rPr>
          <w:rFonts w:ascii="Times New Roman" w:eastAsia="Times New Roman" w:hAnsi="Times New Roman"/>
          <w:sz w:val="24"/>
          <w:szCs w:val="24"/>
        </w:rPr>
        <w:t xml:space="preserve"> на 31,1 тыс. кв. метров (34,2</w:t>
      </w:r>
      <w:r w:rsidRPr="00552117">
        <w:rPr>
          <w:rFonts w:ascii="Times New Roman" w:eastAsia="Times New Roman" w:hAnsi="Times New Roman"/>
          <w:sz w:val="24"/>
          <w:szCs w:val="24"/>
        </w:rPr>
        <w:t xml:space="preserve"> тыс. кв. метров).</w:t>
      </w:r>
      <w:proofErr w:type="gramEnd"/>
    </w:p>
    <w:p w:rsidR="009405F1" w:rsidRPr="00F16FA4" w:rsidRDefault="009405F1" w:rsidP="009405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16FA4">
        <w:rPr>
          <w:rFonts w:ascii="Times New Roman" w:eastAsia="Times New Roman" w:hAnsi="Times New Roman"/>
          <w:sz w:val="24"/>
          <w:szCs w:val="24"/>
          <w:lang w:eastAsia="ru-RU"/>
        </w:rPr>
        <w:t>Одним из важнейших показателей социально-экономического развития района является показатель ввода жилья.</w:t>
      </w:r>
    </w:p>
    <w:p w:rsidR="009405F1" w:rsidRPr="009E4FD9" w:rsidRDefault="009405F1" w:rsidP="009E4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E4FD9">
        <w:rPr>
          <w:rFonts w:ascii="Times New Roman" w:hAnsi="Times New Roman"/>
          <w:sz w:val="24"/>
          <w:szCs w:val="24"/>
        </w:rPr>
        <w:t>Плановые показатели по вводу жилья, доведенные Правите</w:t>
      </w:r>
      <w:r w:rsidR="009E4FD9" w:rsidRPr="009E4FD9">
        <w:rPr>
          <w:rFonts w:ascii="Times New Roman" w:hAnsi="Times New Roman"/>
          <w:sz w:val="24"/>
          <w:szCs w:val="24"/>
        </w:rPr>
        <w:t>льством Югры (11 963</w:t>
      </w:r>
      <w:r w:rsidRPr="009E4FD9">
        <w:rPr>
          <w:rFonts w:ascii="Times New Roman" w:hAnsi="Times New Roman"/>
          <w:sz w:val="24"/>
          <w:szCs w:val="24"/>
        </w:rPr>
        <w:t xml:space="preserve"> кв. метров)</w:t>
      </w:r>
      <w:r w:rsidRPr="009405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6FA4">
        <w:rPr>
          <w:rFonts w:ascii="Times New Roman" w:hAnsi="Times New Roman"/>
          <w:sz w:val="24"/>
          <w:szCs w:val="24"/>
        </w:rPr>
        <w:t xml:space="preserve">были </w:t>
      </w:r>
      <w:r w:rsidR="00F16FA4" w:rsidRPr="00F16FA4">
        <w:rPr>
          <w:rFonts w:ascii="Times New Roman" w:hAnsi="Times New Roman"/>
          <w:sz w:val="24"/>
          <w:szCs w:val="24"/>
        </w:rPr>
        <w:t>достигнуты  и составили 16 981</w:t>
      </w:r>
      <w:r w:rsidRPr="00F16FA4">
        <w:rPr>
          <w:rFonts w:ascii="Times New Roman" w:hAnsi="Times New Roman"/>
          <w:sz w:val="24"/>
          <w:szCs w:val="24"/>
        </w:rPr>
        <w:t xml:space="preserve"> кв. метров.</w:t>
      </w:r>
      <w:r w:rsidR="00F16FA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16FA4" w:rsidRPr="00F16FA4">
        <w:rPr>
          <w:rFonts w:ascii="Times New Roman" w:hAnsi="Times New Roman"/>
          <w:sz w:val="24"/>
          <w:szCs w:val="24"/>
        </w:rPr>
        <w:t>По сравнению с 2020</w:t>
      </w:r>
      <w:r w:rsidRPr="00F16FA4">
        <w:rPr>
          <w:rFonts w:ascii="Times New Roman" w:hAnsi="Times New Roman"/>
          <w:sz w:val="24"/>
          <w:szCs w:val="24"/>
        </w:rPr>
        <w:t xml:space="preserve"> годом фактический ввод жилья </w:t>
      </w:r>
      <w:r w:rsidR="00F16FA4">
        <w:rPr>
          <w:rFonts w:ascii="Times New Roman" w:hAnsi="Times New Roman"/>
          <w:sz w:val="24"/>
          <w:szCs w:val="24"/>
        </w:rPr>
        <w:t>увеличился</w:t>
      </w:r>
      <w:r w:rsidRPr="00F16FA4">
        <w:rPr>
          <w:rFonts w:ascii="Times New Roman" w:hAnsi="Times New Roman"/>
          <w:sz w:val="24"/>
          <w:szCs w:val="24"/>
        </w:rPr>
        <w:t xml:space="preserve"> </w:t>
      </w:r>
      <w:r w:rsidRPr="009E4FD9">
        <w:rPr>
          <w:rFonts w:ascii="Times New Roman" w:hAnsi="Times New Roman"/>
          <w:sz w:val="24"/>
          <w:szCs w:val="24"/>
        </w:rPr>
        <w:t xml:space="preserve">на </w:t>
      </w:r>
      <w:r w:rsidR="009E4FD9" w:rsidRPr="009E4FD9">
        <w:rPr>
          <w:rFonts w:ascii="Times New Roman" w:hAnsi="Times New Roman"/>
          <w:sz w:val="24"/>
          <w:szCs w:val="24"/>
        </w:rPr>
        <w:t>4 087 кв. метра (12 894</w:t>
      </w:r>
      <w:r w:rsidRPr="009E4FD9">
        <w:rPr>
          <w:rFonts w:ascii="Times New Roman" w:hAnsi="Times New Roman"/>
          <w:sz w:val="24"/>
          <w:szCs w:val="24"/>
        </w:rPr>
        <w:t xml:space="preserve"> кв. метров).</w:t>
      </w:r>
      <w:r w:rsidR="009E4F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4FD9">
        <w:rPr>
          <w:rFonts w:ascii="Times New Roman" w:hAnsi="Times New Roman"/>
          <w:sz w:val="24"/>
          <w:szCs w:val="24"/>
        </w:rPr>
        <w:t>Индивидуальное жилищное с</w:t>
      </w:r>
      <w:r w:rsidR="009E4FD9" w:rsidRPr="009E4FD9">
        <w:rPr>
          <w:rFonts w:ascii="Times New Roman" w:hAnsi="Times New Roman"/>
          <w:sz w:val="24"/>
          <w:szCs w:val="24"/>
        </w:rPr>
        <w:t>троительство занимает более 80</w:t>
      </w:r>
      <w:r w:rsidRPr="009E4FD9">
        <w:rPr>
          <w:rFonts w:ascii="Times New Roman" w:hAnsi="Times New Roman"/>
          <w:sz w:val="24"/>
          <w:szCs w:val="24"/>
        </w:rPr>
        <w:t>% в общем объеме введенного жилья</w:t>
      </w:r>
      <w:r w:rsidR="009E4FD9" w:rsidRPr="009E4FD9">
        <w:rPr>
          <w:rFonts w:ascii="Times New Roman" w:hAnsi="Times New Roman"/>
          <w:sz w:val="24"/>
          <w:szCs w:val="24"/>
        </w:rPr>
        <w:t>.</w:t>
      </w:r>
      <w:r w:rsidRPr="009E4FD9">
        <w:rPr>
          <w:rFonts w:ascii="Times New Roman" w:hAnsi="Times New Roman"/>
          <w:sz w:val="24"/>
          <w:szCs w:val="24"/>
        </w:rPr>
        <w:t xml:space="preserve"> </w:t>
      </w:r>
    </w:p>
    <w:p w:rsidR="009405F1" w:rsidRPr="00AD0609" w:rsidRDefault="009E4FD9" w:rsidP="00AD06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E4FD9">
        <w:rPr>
          <w:rFonts w:ascii="Times New Roman" w:eastAsia="Times New Roman" w:hAnsi="Times New Roman"/>
          <w:sz w:val="24"/>
          <w:szCs w:val="24"/>
          <w:lang w:eastAsia="ar-SA"/>
        </w:rPr>
        <w:t>В 2021</w:t>
      </w:r>
      <w:r w:rsidR="009405F1" w:rsidRPr="009E4FD9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году улучшили жилищные </w:t>
      </w:r>
      <w:r w:rsidR="009405F1" w:rsidRPr="00AD0609">
        <w:rPr>
          <w:rFonts w:ascii="Times New Roman" w:eastAsia="Times New Roman" w:hAnsi="Times New Roman"/>
          <w:sz w:val="24"/>
          <w:szCs w:val="24"/>
          <w:lang w:eastAsia="ar-SA"/>
        </w:rPr>
        <w:t>условия</w:t>
      </w:r>
      <w:r w:rsidR="00AD0609" w:rsidRPr="00AD0609">
        <w:rPr>
          <w:rFonts w:ascii="Times New Roman" w:eastAsia="Times New Roman" w:hAnsi="Times New Roman"/>
          <w:sz w:val="24"/>
          <w:szCs w:val="24"/>
          <w:lang w:eastAsia="ar-SA"/>
        </w:rPr>
        <w:t xml:space="preserve"> 93</w:t>
      </w:r>
      <w:r w:rsidR="009405F1" w:rsidRPr="00AD0609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 из числа состоящих на учете в качестве нуждающихся в жилых помещениях </w:t>
      </w:r>
      <w:r w:rsidR="00AD0609" w:rsidRPr="00AD0609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9405F1" w:rsidRPr="00AD060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D0609" w:rsidRPr="00AD0609">
        <w:rPr>
          <w:rFonts w:ascii="Times New Roman" w:eastAsia="Times New Roman" w:hAnsi="Times New Roman"/>
          <w:sz w:val="24"/>
          <w:szCs w:val="24"/>
          <w:lang w:eastAsia="ar-SA"/>
        </w:rPr>
        <w:t>1 098</w:t>
      </w:r>
      <w:r w:rsidR="009405F1" w:rsidRPr="00AD0609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человек.</w:t>
      </w:r>
    </w:p>
    <w:p w:rsidR="009405F1" w:rsidRPr="00552117" w:rsidRDefault="009405F1" w:rsidP="009405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E4FD9">
        <w:rPr>
          <w:rFonts w:ascii="Times New Roman" w:hAnsi="Times New Roman"/>
          <w:sz w:val="24"/>
          <w:szCs w:val="24"/>
        </w:rPr>
        <w:t xml:space="preserve">По предварительным данным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общая </w:t>
      </w:r>
      <w:r w:rsidRPr="00552117">
        <w:rPr>
          <w:rFonts w:ascii="Times New Roman" w:hAnsi="Times New Roman"/>
          <w:sz w:val="24"/>
          <w:szCs w:val="24"/>
        </w:rPr>
        <w:t xml:space="preserve">площадь жилых помещений, приходящаяся в среднем на 1 жителя в </w:t>
      </w:r>
      <w:r w:rsidR="009E4FD9" w:rsidRPr="00552117">
        <w:rPr>
          <w:rFonts w:ascii="Times New Roman" w:hAnsi="Times New Roman"/>
          <w:sz w:val="24"/>
          <w:szCs w:val="24"/>
        </w:rPr>
        <w:t>2021</w:t>
      </w:r>
      <w:r w:rsidRPr="00552117">
        <w:rPr>
          <w:rFonts w:ascii="Times New Roman" w:hAnsi="Times New Roman"/>
          <w:sz w:val="24"/>
          <w:szCs w:val="24"/>
        </w:rPr>
        <w:t xml:space="preserve"> году, достигла</w:t>
      </w:r>
      <w:r w:rsidR="00552117" w:rsidRPr="00552117">
        <w:rPr>
          <w:rFonts w:ascii="Times New Roman" w:hAnsi="Times New Roman"/>
          <w:sz w:val="24"/>
          <w:szCs w:val="24"/>
        </w:rPr>
        <w:t xml:space="preserve"> 23,2</w:t>
      </w:r>
      <w:r w:rsidRPr="00552117">
        <w:rPr>
          <w:rFonts w:ascii="Times New Roman" w:hAnsi="Times New Roman"/>
          <w:sz w:val="24"/>
          <w:szCs w:val="24"/>
        </w:rPr>
        <w:t xml:space="preserve"> кв. метров.</w:t>
      </w:r>
    </w:p>
    <w:p w:rsidR="00A96E9B" w:rsidRPr="009405F1" w:rsidRDefault="00A96E9B" w:rsidP="009405F1">
      <w:pPr>
        <w:rPr>
          <w:rFonts w:ascii="Times New Roman" w:eastAsiaTheme="minorHAnsi" w:hAnsi="Times New Roman"/>
          <w:sz w:val="24"/>
          <w:szCs w:val="24"/>
        </w:rPr>
        <w:sectPr w:rsidR="00A96E9B" w:rsidRPr="009405F1" w:rsidSect="00FC061E">
          <w:headerReference w:type="default" r:id="rId14"/>
          <w:pgSz w:w="11906" w:h="16838"/>
          <w:pgMar w:top="1701" w:right="1276" w:bottom="993" w:left="1559" w:header="709" w:footer="709" w:gutter="0"/>
          <w:cols w:space="708"/>
          <w:titlePg/>
          <w:docGrid w:linePitch="360"/>
        </w:sectPr>
      </w:pPr>
    </w:p>
    <w:p w:rsidR="00A96E9B" w:rsidRPr="00B20832" w:rsidRDefault="00A96E9B" w:rsidP="00A96E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0832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A96E9B" w:rsidRPr="00B20832" w:rsidRDefault="00A96E9B" w:rsidP="00A96E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55FB" w:rsidRPr="00B20832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bookmarkStart w:id="0" w:name="P474"/>
      <w:bookmarkEnd w:id="0"/>
      <w:r w:rsidRPr="00B20832">
        <w:rPr>
          <w:rFonts w:ascii="Times New Roman" w:eastAsiaTheme="minorHAnsi" w:hAnsi="Times New Roman"/>
          <w:bCs/>
          <w:sz w:val="24"/>
          <w:szCs w:val="24"/>
        </w:rPr>
        <w:t>Информация о состоянии жилищного фонда в муниципальном образовании</w:t>
      </w:r>
    </w:p>
    <w:p w:rsidR="001C55FB" w:rsidRPr="00B20832" w:rsidRDefault="003A696C" w:rsidP="001C5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Ханты-Мансийский район за 2021</w:t>
      </w:r>
      <w:r w:rsidR="001C55FB" w:rsidRPr="00B20832">
        <w:rPr>
          <w:rFonts w:ascii="Times New Roman" w:eastAsiaTheme="minorHAnsi" w:hAnsi="Times New Roman"/>
          <w:bCs/>
          <w:sz w:val="24"/>
          <w:szCs w:val="24"/>
        </w:rPr>
        <w:t>год, кв. метров</w:t>
      </w:r>
    </w:p>
    <w:p w:rsidR="001C55FB" w:rsidRPr="00FE15E5" w:rsidRDefault="001C55FB" w:rsidP="001C5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FF0000"/>
          <w:sz w:val="24"/>
          <w:szCs w:val="24"/>
        </w:rPr>
      </w:pPr>
    </w:p>
    <w:p w:rsidR="00A1437C" w:rsidRDefault="00A1437C" w:rsidP="00A96E9B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1562"/>
        <w:gridCol w:w="1370"/>
        <w:gridCol w:w="1408"/>
        <w:gridCol w:w="1604"/>
        <w:gridCol w:w="710"/>
        <w:gridCol w:w="1560"/>
        <w:gridCol w:w="1179"/>
        <w:gridCol w:w="1502"/>
        <w:gridCol w:w="949"/>
        <w:gridCol w:w="1725"/>
      </w:tblGrid>
      <w:tr w:rsidR="009405F1" w:rsidRPr="00FE15E5" w:rsidTr="007E0E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proofErr w:type="gramStart"/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Отчет-</w:t>
            </w:r>
            <w:proofErr w:type="spellStart"/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Общая площадь жилых помещений на начало года, 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Выбыло общей площади жилых помещений за год, всего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Общая площадь жилых помещений, введенная в действие за год</w:t>
            </w:r>
          </w:p>
        </w:tc>
      </w:tr>
      <w:tr w:rsidR="009405F1" w:rsidRPr="00FE15E5" w:rsidTr="00FB78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площадь ветхого жилищного фонда</w:t>
            </w:r>
            <w:r w:rsidR="007E0E97">
              <w:rPr>
                <w:rFonts w:ascii="Times New Roman" w:eastAsiaTheme="minorHAnsi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площадь аварийного жилищного фонда</w:t>
            </w:r>
            <w:r w:rsidR="007E0E97">
              <w:rPr>
                <w:rFonts w:ascii="Times New Roman" w:eastAsiaTheme="minorHAnsi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площадь пригодного для проживания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прочее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снесено по причине ветхости</w:t>
            </w:r>
            <w:r w:rsidR="007E0E97">
              <w:rPr>
                <w:rFonts w:ascii="Times New Roman" w:eastAsiaTheme="minorHAnsi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снесено по причине аварийности</w:t>
            </w:r>
            <w:r w:rsidR="007E0E97">
              <w:rPr>
                <w:rFonts w:ascii="Times New Roman" w:eastAsiaTheme="minorHAnsi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eastAsiaTheme="minorHAnsi" w:hAnsi="Times New Roman"/>
                <w:bCs/>
                <w:sz w:val="20"/>
                <w:szCs w:val="20"/>
              </w:rPr>
              <w:t>иные причины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</w:tr>
      <w:tr w:rsidR="009405F1" w:rsidRPr="00FE15E5" w:rsidTr="007E0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441 777,0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66 653,0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9 779,8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365 344,2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1 583,0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F1" w:rsidRPr="00B20832" w:rsidRDefault="007E0E97" w:rsidP="00FB78E7">
            <w:pPr>
              <w:autoSpaceDE w:val="0"/>
              <w:autoSpaceDN w:val="0"/>
              <w:adjustRightInd w:val="0"/>
              <w:spacing w:after="0" w:line="240" w:lineRule="auto"/>
              <w:ind w:left="48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1 583,0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832">
              <w:rPr>
                <w:rFonts w:ascii="Times New Roman" w:hAnsi="Times New Roman"/>
                <w:bCs/>
                <w:sz w:val="20"/>
                <w:szCs w:val="20"/>
              </w:rPr>
              <w:t>11 133,8</w:t>
            </w:r>
          </w:p>
        </w:tc>
      </w:tr>
      <w:tr w:rsidR="009405F1" w:rsidRPr="00FE15E5" w:rsidTr="007E0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2019г.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451 524,2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44 097,6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10 315,5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397 111,1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48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B20832" w:rsidRDefault="009405F1" w:rsidP="00FB78E7">
            <w:pPr>
              <w:autoSpaceDE w:val="0"/>
              <w:autoSpaceDN w:val="0"/>
              <w:adjustRightInd w:val="0"/>
              <w:spacing w:after="0" w:line="240" w:lineRule="auto"/>
              <w:ind w:left="3" w:right="-9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13 031,0</w:t>
            </w:r>
          </w:p>
        </w:tc>
      </w:tr>
      <w:tr w:rsidR="009405F1" w:rsidRPr="00FE15E5" w:rsidTr="007E0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464A89" w:rsidRDefault="009405F1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464A89" w:rsidRDefault="009405F1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439 494,4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464A89" w:rsidRDefault="009405F1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10 320,8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F1" w:rsidRPr="00464A89" w:rsidRDefault="009405F1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14 065,3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464A89" w:rsidRDefault="009405F1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97">
              <w:rPr>
                <w:rFonts w:ascii="Times New Roman" w:hAnsi="Times New Roman"/>
                <w:sz w:val="20"/>
                <w:szCs w:val="20"/>
              </w:rPr>
              <w:t>415 108,3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464A89" w:rsidRDefault="009405F1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464A89" w:rsidRDefault="009405F1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4 221,4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464A89" w:rsidRDefault="009405F1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5F1" w:rsidRPr="00464A89" w:rsidRDefault="009405F1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3 715,3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464A89" w:rsidRDefault="009405F1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sz w:val="20"/>
                <w:szCs w:val="20"/>
              </w:rPr>
              <w:t>400,4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05F1" w:rsidRPr="00464A89" w:rsidRDefault="009405F1" w:rsidP="00FB78E7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4A89">
              <w:rPr>
                <w:rFonts w:ascii="Times New Roman" w:hAnsi="Times New Roman"/>
                <w:color w:val="000000"/>
                <w:sz w:val="20"/>
                <w:szCs w:val="20"/>
              </w:rPr>
              <w:t>12 894,4</w:t>
            </w:r>
          </w:p>
        </w:tc>
      </w:tr>
      <w:tr w:rsidR="007E0E97" w:rsidRPr="00FE15E5" w:rsidTr="007E0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97" w:rsidRPr="00464A89" w:rsidRDefault="007E0E97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97" w:rsidRPr="00464A89" w:rsidRDefault="007E0E97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440 668,7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97" w:rsidRPr="00464A89" w:rsidRDefault="007E0E97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97" w:rsidRPr="00464A89" w:rsidRDefault="007E0E97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97" w:rsidRPr="007E0E97" w:rsidRDefault="007E0E97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416282,6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97" w:rsidRPr="00464A89" w:rsidRDefault="007E0E97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97" w:rsidRPr="00464A89" w:rsidRDefault="007E0E97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97" w:rsidRPr="00464A89" w:rsidRDefault="007E0E97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97" w:rsidRPr="00464A89" w:rsidRDefault="007E0E97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97" w:rsidRPr="00464A89" w:rsidRDefault="007E0E97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97" w:rsidRPr="00464A89" w:rsidRDefault="007E0E97" w:rsidP="00FB78E7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16 981,0</w:t>
            </w:r>
          </w:p>
        </w:tc>
      </w:tr>
      <w:tr w:rsidR="00073F83" w:rsidRPr="00FE15E5" w:rsidTr="007E0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456 533,1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43 674,0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7E0E97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412 859,1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83" w:rsidRPr="00464A89" w:rsidRDefault="00073F83" w:rsidP="008B4A3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15 500,0</w:t>
            </w:r>
          </w:p>
        </w:tc>
      </w:tr>
      <w:tr w:rsidR="00073F83" w:rsidRPr="00FE15E5" w:rsidTr="007E0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470 650,5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24 674,0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7E0E97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445 976,5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83" w:rsidRPr="00464A89" w:rsidRDefault="00073F83" w:rsidP="008B4A3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Pr="00464A89" w:rsidRDefault="00073F83" w:rsidP="00FB78E7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14 400,0</w:t>
            </w:r>
          </w:p>
        </w:tc>
      </w:tr>
      <w:tr w:rsidR="00073F83" w:rsidRPr="00FE15E5" w:rsidTr="007E0E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483 218,9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83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474 544,9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83" w:rsidRDefault="00073F83" w:rsidP="008B4A3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1 831,6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Default="00073F83" w:rsidP="00FB78E7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3F83" w:rsidRDefault="00073F83" w:rsidP="00FB78E7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15 500,0</w:t>
            </w:r>
          </w:p>
        </w:tc>
      </w:tr>
    </w:tbl>
    <w:p w:rsidR="003A696C" w:rsidRDefault="003A696C" w:rsidP="00A96E9B">
      <w:pPr>
        <w:pStyle w:val="ConsPlusNormal"/>
        <w:rPr>
          <w:rFonts w:ascii="Times New Roman" w:hAnsi="Times New Roman" w:cs="Times New Roman"/>
          <w:sz w:val="20"/>
        </w:rPr>
      </w:pPr>
    </w:p>
    <w:p w:rsidR="00227088" w:rsidRPr="007E0E97" w:rsidRDefault="00227088" w:rsidP="007531B1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0E97">
        <w:rPr>
          <w:rFonts w:ascii="Times New Roman" w:hAnsi="Times New Roman" w:cs="Times New Roman"/>
          <w:sz w:val="18"/>
          <w:szCs w:val="18"/>
        </w:rPr>
        <w:t xml:space="preserve">* Информация по </w:t>
      </w:r>
      <w:proofErr w:type="gramStart"/>
      <w:r w:rsidRPr="007E0E97">
        <w:rPr>
          <w:rFonts w:ascii="Times New Roman" w:hAnsi="Times New Roman" w:cs="Times New Roman"/>
          <w:sz w:val="18"/>
          <w:szCs w:val="18"/>
        </w:rPr>
        <w:t>данным, представленным администрациями сельских поселений Ханты-Мансийского района не является</w:t>
      </w:r>
      <w:proofErr w:type="gramEnd"/>
      <w:r w:rsidRPr="007E0E97">
        <w:rPr>
          <w:rFonts w:ascii="Times New Roman" w:hAnsi="Times New Roman" w:cs="Times New Roman"/>
          <w:sz w:val="18"/>
          <w:szCs w:val="18"/>
        </w:rPr>
        <w:t xml:space="preserve"> официальной статистической информацией. </w:t>
      </w:r>
    </w:p>
    <w:p w:rsidR="00227088" w:rsidRPr="007E0E97" w:rsidRDefault="00227088" w:rsidP="007531B1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0E97">
        <w:rPr>
          <w:rFonts w:ascii="Times New Roman" w:hAnsi="Times New Roman" w:cs="Times New Roman"/>
          <w:sz w:val="18"/>
          <w:szCs w:val="18"/>
        </w:rPr>
        <w:t>В Форме 1-жилфонд, утвержденной Приказом Ро</w:t>
      </w:r>
      <w:r w:rsidR="007E0D3B" w:rsidRPr="007E0E97">
        <w:rPr>
          <w:rFonts w:ascii="Times New Roman" w:hAnsi="Times New Roman" w:cs="Times New Roman"/>
          <w:sz w:val="18"/>
          <w:szCs w:val="18"/>
        </w:rPr>
        <w:t xml:space="preserve">сстата от </w:t>
      </w:r>
      <w:r w:rsidR="007E0E97" w:rsidRPr="007E0E97">
        <w:rPr>
          <w:rFonts w:ascii="Times New Roman" w:hAnsi="Times New Roman" w:cs="Times New Roman"/>
          <w:sz w:val="18"/>
          <w:szCs w:val="18"/>
        </w:rPr>
        <w:t>30.07.2021 № 464</w:t>
      </w:r>
      <w:r w:rsidR="007E0D3B" w:rsidRPr="007E0E97">
        <w:rPr>
          <w:rFonts w:ascii="Times New Roman" w:hAnsi="Times New Roman" w:cs="Times New Roman"/>
          <w:sz w:val="18"/>
          <w:szCs w:val="18"/>
        </w:rPr>
        <w:t>,</w:t>
      </w:r>
      <w:r w:rsidRPr="007E0E97">
        <w:rPr>
          <w:rFonts w:ascii="Times New Roman" w:hAnsi="Times New Roman" w:cs="Times New Roman"/>
          <w:sz w:val="18"/>
          <w:szCs w:val="18"/>
        </w:rPr>
        <w:t xml:space="preserve"> данный раздел не предусмотрен.</w:t>
      </w:r>
    </w:p>
    <w:p w:rsidR="00A1437C" w:rsidRPr="00FE15E5" w:rsidRDefault="00A1437C" w:rsidP="007531B1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  <w:sectPr w:rsidR="00A1437C" w:rsidRPr="00FE15E5" w:rsidSect="001C55FB">
          <w:pgSz w:w="16838" w:h="11906" w:orient="landscape"/>
          <w:pgMar w:top="1559" w:right="1418" w:bottom="1276" w:left="1134" w:header="425" w:footer="170" w:gutter="0"/>
          <w:cols w:space="708"/>
          <w:docGrid w:linePitch="360"/>
        </w:sectPr>
      </w:pPr>
      <w:r w:rsidRPr="00FE15E5">
        <w:rPr>
          <w:rFonts w:ascii="Times New Roman" w:hAnsi="Times New Roman" w:cs="Times New Roman"/>
          <w:color w:val="FF0000"/>
          <w:sz w:val="20"/>
        </w:rPr>
        <w:t xml:space="preserve">  </w:t>
      </w:r>
    </w:p>
    <w:p w:rsidR="00BC121C" w:rsidRDefault="001C55FB" w:rsidP="00BC1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</w:pPr>
      <w:r w:rsidRPr="00BC121C"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  <w:lastRenderedPageBreak/>
        <w:t>1.9.Охрана прав граждан и юридических лиц</w:t>
      </w:r>
    </w:p>
    <w:p w:rsidR="00BC121C" w:rsidRDefault="00BC121C" w:rsidP="00BC12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</w:p>
    <w:p w:rsidR="00B12CB4" w:rsidRPr="00B12CB4" w:rsidRDefault="00B12CB4" w:rsidP="00B1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2CB4">
        <w:rPr>
          <w:rFonts w:ascii="Times New Roman" w:eastAsiaTheme="minorEastAsia" w:hAnsi="Times New Roman"/>
          <w:sz w:val="24"/>
          <w:szCs w:val="24"/>
          <w:lang w:eastAsia="ru-RU"/>
        </w:rPr>
        <w:t>В соответствии со ст. 46 Конституции Российской Федерации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B12CB4" w:rsidRPr="00B12CB4" w:rsidRDefault="00B12CB4" w:rsidP="00B1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12CB4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Порядок обжалования муниципальных правовых актов и действий (бездействия) органов местного самоуправления в суд регулируется Гражданским процессуальным кодексом Российской Федерации, Арбитражным процессуальным кодексом Российской Федерации и Кодексом административного судопроизводства Российской Федерации. </w:t>
      </w:r>
    </w:p>
    <w:p w:rsidR="00B12CB4" w:rsidRPr="00B12CB4" w:rsidRDefault="00B12CB4" w:rsidP="00B1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B12CB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Общее количество обращений в суды граждан и юридических лиц за обжалованием действий (бездействия) органов местного самоуправления Ханты-Мансийского района в 2021 году составило 4 (2020 год – 8). </w:t>
      </w:r>
    </w:p>
    <w:p w:rsidR="00B12CB4" w:rsidRPr="00B12CB4" w:rsidRDefault="00B12CB4" w:rsidP="00B1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B12CB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Таким образом, количества судебных разбирательств по обращениям граждан и юридических лиц в сравнении с предыдущими годами значительно поменялось, имеет место быть уменьшение числа заявлений.</w:t>
      </w:r>
    </w:p>
    <w:p w:rsidR="00B12CB4" w:rsidRPr="00B12CB4" w:rsidRDefault="00B12CB4" w:rsidP="00B1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B12CB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Количество обращений в суды по направлениям, степень их удовлетворения судом отражены в таблице 2.</w:t>
      </w:r>
    </w:p>
    <w:p w:rsidR="00B12CB4" w:rsidRPr="00B12CB4" w:rsidRDefault="00B12CB4" w:rsidP="00B1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CB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В 2021 году имели место 4 обращений в суд от физических лиц, в том числе: по трудовым правоотношениям (1 – удовлетворено частично), земельным правоотношениям (1 – удовлетворено, 1 – удовлетворено частично) и 1 обращение </w:t>
      </w:r>
      <w:r w:rsidRPr="00B12CB4">
        <w:rPr>
          <w:rFonts w:ascii="Times New Roman" w:eastAsia="Times New Roman" w:hAnsi="Times New Roman"/>
          <w:sz w:val="24"/>
          <w:szCs w:val="24"/>
          <w:lang w:eastAsia="ru-RU"/>
        </w:rPr>
        <w:t>в сфере строительства (отклонено).</w:t>
      </w:r>
    </w:p>
    <w:p w:rsidR="00B12CB4" w:rsidRPr="00B12CB4" w:rsidRDefault="00B12CB4" w:rsidP="00B1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CB4">
        <w:rPr>
          <w:rFonts w:ascii="Times New Roman" w:eastAsia="Times New Roman" w:hAnsi="Times New Roman"/>
          <w:sz w:val="24"/>
          <w:szCs w:val="24"/>
          <w:lang w:eastAsia="ru-RU"/>
        </w:rPr>
        <w:t>Таким образом, из 4 дел, рассмотренных судами, в отношении 1 заявления отказано в удовлетворении требований, по 2 заявлениям требования удовлетворены частично, 1 удовлетворенно.</w:t>
      </w:r>
    </w:p>
    <w:p w:rsidR="00B12CB4" w:rsidRPr="00B12CB4" w:rsidRDefault="00B12CB4" w:rsidP="00B1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CB4">
        <w:rPr>
          <w:rFonts w:ascii="Times New Roman" w:eastAsia="Times New Roman" w:hAnsi="Times New Roman"/>
          <w:sz w:val="24"/>
          <w:szCs w:val="24"/>
          <w:lang w:eastAsia="ru-RU"/>
        </w:rPr>
        <w:t>Прокурором иски в защиту прав граждан и юридических лиц не предъявлялись.</w:t>
      </w:r>
    </w:p>
    <w:p w:rsidR="00B12CB4" w:rsidRDefault="00B12CB4" w:rsidP="00B1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  <w:r w:rsidRPr="00B12CB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 xml:space="preserve">В настоящей информации не учтены дела других категорий (споры о праве собственности, об установлении юридических фактов, о взыскании задолженности по договорам и иные, не связанные с обжалованием действий, решений органов местного самоуправления), а также дела, производство по которым прекращено без разрешения спора по существу. Общее число судебных разбирательств в 2021 году с участием </w:t>
      </w:r>
      <w:r w:rsidRPr="00B12CB4"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  <w:t>администрации района, как юридического лица – 70.</w:t>
      </w:r>
    </w:p>
    <w:p w:rsidR="00B12CB4" w:rsidRDefault="00B12CB4" w:rsidP="00B1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pacing w:val="-1"/>
          <w:sz w:val="24"/>
          <w:szCs w:val="24"/>
          <w:lang w:eastAsia="ru-RU"/>
        </w:rPr>
      </w:pPr>
    </w:p>
    <w:p w:rsidR="00F303F3" w:rsidRPr="00FE15E5" w:rsidRDefault="00F303F3" w:rsidP="000644CE">
      <w:pPr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sectPr w:rsidR="00F303F3" w:rsidRPr="00FE15E5" w:rsidSect="00F303F3">
          <w:pgSz w:w="11906" w:h="16838"/>
          <w:pgMar w:top="1418" w:right="1276" w:bottom="1134" w:left="1559" w:header="425" w:footer="170" w:gutter="0"/>
          <w:cols w:space="708"/>
          <w:docGrid w:linePitch="360"/>
        </w:sectPr>
      </w:pPr>
    </w:p>
    <w:p w:rsidR="001C55FB" w:rsidRPr="00F85AA1" w:rsidRDefault="001C55FB" w:rsidP="001C5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F85AA1">
        <w:rPr>
          <w:rFonts w:ascii="Times New Roman" w:eastAsiaTheme="minorHAnsi" w:hAnsi="Times New Roman"/>
          <w:sz w:val="24"/>
          <w:szCs w:val="24"/>
        </w:rPr>
        <w:lastRenderedPageBreak/>
        <w:t>Таблица 2</w:t>
      </w:r>
    </w:p>
    <w:p w:rsidR="001C55FB" w:rsidRPr="00F85AA1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85AA1">
        <w:rPr>
          <w:rFonts w:ascii="Times New Roman" w:eastAsiaTheme="minorHAnsi" w:hAnsi="Times New Roman"/>
          <w:sz w:val="24"/>
          <w:szCs w:val="24"/>
        </w:rPr>
        <w:t>Количество допущенных нарушений прав граждан</w:t>
      </w:r>
    </w:p>
    <w:p w:rsidR="001C55FB" w:rsidRPr="00F85AA1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85AA1">
        <w:rPr>
          <w:rFonts w:ascii="Times New Roman" w:eastAsiaTheme="minorHAnsi" w:hAnsi="Times New Roman"/>
          <w:sz w:val="24"/>
          <w:szCs w:val="24"/>
        </w:rPr>
        <w:t>и юридических лиц, подтвержденных судебными актами</w:t>
      </w:r>
    </w:p>
    <w:p w:rsidR="001C55FB" w:rsidRPr="00F85AA1" w:rsidRDefault="00197D7A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9.8pt;margin-top:13pt;width:302.25pt;height:0;z-index:251659264" o:connectortype="straight"/>
        </w:pict>
      </w:r>
      <w:r w:rsidR="001C55FB" w:rsidRPr="00F85AA1">
        <w:rPr>
          <w:rFonts w:ascii="Times New Roman" w:eastAsiaTheme="minorHAnsi" w:hAnsi="Times New Roman"/>
          <w:sz w:val="24"/>
          <w:szCs w:val="24"/>
        </w:rPr>
        <w:t>Ханты-Мансийский район</w:t>
      </w:r>
    </w:p>
    <w:p w:rsidR="001C55FB" w:rsidRPr="00F85AA1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F85AA1">
        <w:rPr>
          <w:rFonts w:ascii="Times New Roman" w:eastAsiaTheme="minorHAnsi" w:hAnsi="Times New Roman"/>
          <w:sz w:val="18"/>
          <w:szCs w:val="18"/>
        </w:rPr>
        <w:t>наименование городского округа (муниципального района)</w:t>
      </w:r>
    </w:p>
    <w:p w:rsidR="000644CE" w:rsidRPr="00F85AA1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252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115F9" w:rsidRPr="000115F9" w:rsidTr="000115F9">
        <w:trPr>
          <w:trHeight w:val="30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 местного самоуправления</w:t>
            </w:r>
          </w:p>
        </w:tc>
        <w:tc>
          <w:tcPr>
            <w:tcW w:w="3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90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 судами исковые требования:</w:t>
            </w:r>
          </w:p>
        </w:tc>
      </w:tr>
      <w:tr w:rsidR="000115F9" w:rsidRPr="000115F9" w:rsidTr="000115F9">
        <w:trPr>
          <w:trHeight w:val="717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удовлетворены частично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удовлетворены полностью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отказано в удовлетворении</w:t>
            </w:r>
          </w:p>
        </w:tc>
      </w:tr>
      <w:tr w:rsidR="000115F9" w:rsidRPr="000115F9" w:rsidTr="000115F9">
        <w:trPr>
          <w:trHeight w:val="30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115F9" w:rsidRPr="000115F9" w:rsidTr="000115F9">
        <w:trPr>
          <w:trHeight w:val="151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физ. лица </w:t>
            </w:r>
            <w:proofErr w:type="spellStart"/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физ. лица </w:t>
            </w:r>
            <w:proofErr w:type="spellStart"/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физ. лица </w:t>
            </w:r>
            <w:proofErr w:type="spellStart"/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физ. лица </w:t>
            </w:r>
            <w:proofErr w:type="spellStart"/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физ. лица </w:t>
            </w:r>
            <w:proofErr w:type="spellStart"/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физ. лица </w:t>
            </w:r>
            <w:proofErr w:type="spellStart"/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физ. лица </w:t>
            </w:r>
            <w:proofErr w:type="spellStart"/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физ. лица </w:t>
            </w:r>
            <w:proofErr w:type="spellStart"/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физ. лица </w:t>
            </w:r>
            <w:proofErr w:type="spellStart"/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физ. лица </w:t>
            </w:r>
            <w:proofErr w:type="spellStart"/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физ. лица </w:t>
            </w:r>
            <w:proofErr w:type="spellStart"/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физ. лица </w:t>
            </w:r>
            <w:proofErr w:type="spellStart"/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</w:t>
            </w:r>
            <w:proofErr w:type="spellEnd"/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юр. лица</w:t>
            </w:r>
          </w:p>
        </w:tc>
      </w:tr>
      <w:tr w:rsidR="000115F9" w:rsidRPr="000115F9" w:rsidTr="000115F9">
        <w:trPr>
          <w:trHeight w:val="529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 по направлениям: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15F9" w:rsidRPr="000115F9" w:rsidTr="000115F9">
        <w:trPr>
          <w:trHeight w:val="468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37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жилищно-коммунальный комплекс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44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Трудовые правоотношения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53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жилищные правоотношения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63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земельные правоотношения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2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9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санитарно-эпидемиологическое благополучие</w:t>
            </w:r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храна природы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егистрация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3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открытость информации ОМСУ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73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Торги, аукцион, муниципальное имущество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68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представления, нормативные, ненормативные акты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15F9" w:rsidRPr="000115F9" w:rsidTr="000115F9">
        <w:trPr>
          <w:trHeight w:val="85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безопасности гидротехнических сооружений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F9" w:rsidRPr="000115F9" w:rsidRDefault="000115F9" w:rsidP="000115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11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0644CE" w:rsidRPr="00FE15E5" w:rsidRDefault="000644CE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FF0000"/>
          <w:sz w:val="18"/>
          <w:szCs w:val="18"/>
        </w:rPr>
      </w:pPr>
    </w:p>
    <w:p w:rsidR="001C55FB" w:rsidRPr="00FE15E5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sectPr w:rsidR="001C55FB" w:rsidRPr="00FE15E5" w:rsidSect="003111F8">
          <w:pgSz w:w="16838" w:h="11906" w:orient="landscape"/>
          <w:pgMar w:top="1559" w:right="1418" w:bottom="964" w:left="1134" w:header="709" w:footer="709" w:gutter="0"/>
          <w:cols w:space="708"/>
          <w:docGrid w:linePitch="360"/>
        </w:sectPr>
      </w:pPr>
    </w:p>
    <w:p w:rsidR="001C55FB" w:rsidRPr="000B7963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B79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1.10.</w:t>
      </w:r>
      <w:r w:rsidR="000644CE" w:rsidRPr="000B79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B79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Состояние платежной дисциплины и инвестиционной политики </w:t>
      </w:r>
    </w:p>
    <w:p w:rsidR="001C55FB" w:rsidRPr="000B7963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B79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жилищно-коммунальном комплексе</w:t>
      </w:r>
    </w:p>
    <w:p w:rsidR="001C55FB" w:rsidRPr="00FE15E5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:rsidR="001C55FB" w:rsidRPr="00B57A15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15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1C55FB" w:rsidRPr="00B57A15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55FB" w:rsidRPr="00B57A15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842"/>
      <w:bookmarkEnd w:id="1"/>
      <w:r w:rsidRPr="00B57A15">
        <w:rPr>
          <w:rFonts w:ascii="Times New Roman" w:eastAsia="Times New Roman" w:hAnsi="Times New Roman"/>
          <w:sz w:val="24"/>
          <w:szCs w:val="24"/>
          <w:lang w:eastAsia="ru-RU"/>
        </w:rPr>
        <w:t>Состояние платежной дисциплины и инвестиционной</w:t>
      </w:r>
    </w:p>
    <w:p w:rsidR="001C55FB" w:rsidRPr="00B57A15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A15">
        <w:rPr>
          <w:rFonts w:ascii="Times New Roman" w:eastAsia="Times New Roman" w:hAnsi="Times New Roman"/>
          <w:sz w:val="24"/>
          <w:szCs w:val="24"/>
          <w:lang w:eastAsia="ru-RU"/>
        </w:rPr>
        <w:t>политики в жилищно-коммунальном комплексе</w:t>
      </w:r>
    </w:p>
    <w:p w:rsidR="001C55FB" w:rsidRPr="00B57A15" w:rsidRDefault="00197D7A" w:rsidP="001C55FB">
      <w:pPr>
        <w:tabs>
          <w:tab w:val="left" w:pos="4524"/>
          <w:tab w:val="center" w:pos="75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09.8pt;margin-top:13pt;width:302.25pt;height:0;z-index:251661312" o:connectortype="straight"/>
        </w:pict>
      </w:r>
      <w:r w:rsidR="001C55FB" w:rsidRPr="00B57A15">
        <w:rPr>
          <w:rFonts w:ascii="Times New Roman" w:eastAsiaTheme="minorHAnsi" w:hAnsi="Times New Roman"/>
          <w:sz w:val="24"/>
          <w:szCs w:val="24"/>
        </w:rPr>
        <w:t>Ханты-Мансийского района</w:t>
      </w:r>
    </w:p>
    <w:p w:rsidR="001C55FB" w:rsidRPr="00B57A15" w:rsidRDefault="001C55FB" w:rsidP="001C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B57A15">
        <w:rPr>
          <w:rFonts w:ascii="Times New Roman" w:eastAsiaTheme="minorHAnsi" w:hAnsi="Times New Roman"/>
          <w:sz w:val="18"/>
          <w:szCs w:val="18"/>
        </w:rPr>
        <w:t>наименование городского округа (муниципального района)</w:t>
      </w:r>
    </w:p>
    <w:p w:rsidR="001C55FB" w:rsidRPr="00FE15E5" w:rsidRDefault="001C55FB" w:rsidP="000063D7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7"/>
        <w:gridCol w:w="5670"/>
        <w:gridCol w:w="1489"/>
        <w:gridCol w:w="939"/>
        <w:gridCol w:w="939"/>
        <w:gridCol w:w="939"/>
        <w:gridCol w:w="939"/>
        <w:gridCol w:w="936"/>
        <w:gridCol w:w="939"/>
        <w:gridCol w:w="1019"/>
      </w:tblGrid>
      <w:tr w:rsidR="006747C0" w:rsidRPr="000063D7" w:rsidTr="007E0E97">
        <w:trPr>
          <w:jc w:val="center"/>
        </w:trPr>
        <w:tc>
          <w:tcPr>
            <w:tcW w:w="657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063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63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D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D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9" w:type="dxa"/>
            <w:shd w:val="clear" w:color="auto" w:fill="auto"/>
          </w:tcPr>
          <w:p w:rsidR="006747C0" w:rsidRPr="006E030C" w:rsidRDefault="006747C0" w:rsidP="007E0E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9" w:type="dxa"/>
            <w:shd w:val="clear" w:color="auto" w:fill="auto"/>
          </w:tcPr>
          <w:p w:rsidR="006747C0" w:rsidRPr="006E030C" w:rsidRDefault="006747C0" w:rsidP="007E0E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9" w:type="dxa"/>
            <w:shd w:val="clear" w:color="auto" w:fill="auto"/>
          </w:tcPr>
          <w:p w:rsidR="006747C0" w:rsidRPr="006E030C" w:rsidRDefault="006747C0" w:rsidP="007E0E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39" w:type="dxa"/>
            <w:shd w:val="clear" w:color="auto" w:fill="auto"/>
          </w:tcPr>
          <w:p w:rsidR="006747C0" w:rsidRPr="006E030C" w:rsidRDefault="006747C0" w:rsidP="007E0E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36" w:type="dxa"/>
            <w:shd w:val="clear" w:color="auto" w:fill="auto"/>
          </w:tcPr>
          <w:p w:rsidR="006747C0" w:rsidRPr="006E030C" w:rsidRDefault="006747C0" w:rsidP="007E0E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39" w:type="dxa"/>
            <w:shd w:val="clear" w:color="auto" w:fill="auto"/>
          </w:tcPr>
          <w:p w:rsidR="006747C0" w:rsidRPr="006E030C" w:rsidRDefault="006747C0" w:rsidP="007E0E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19" w:type="dxa"/>
            <w:shd w:val="clear" w:color="auto" w:fill="auto"/>
          </w:tcPr>
          <w:p w:rsidR="006747C0" w:rsidRPr="006E030C" w:rsidRDefault="006747C0" w:rsidP="007E0E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6747C0" w:rsidRPr="000063D7" w:rsidTr="007E0E97">
        <w:trPr>
          <w:trHeight w:val="1637"/>
          <w:jc w:val="center"/>
        </w:trPr>
        <w:tc>
          <w:tcPr>
            <w:tcW w:w="657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63D7">
              <w:rPr>
                <w:rFonts w:ascii="Times New Roman" w:hAnsi="Times New Roman"/>
                <w:sz w:val="24"/>
                <w:szCs w:val="24"/>
              </w:rPr>
              <w:t>Доля просроченной кредиторской задолженности (2 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1489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D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  <w:p w:rsidR="006747C0" w:rsidRPr="000063D7" w:rsidRDefault="006747C0" w:rsidP="007E0E97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F250B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47C0" w:rsidRPr="000063D7" w:rsidTr="007E0E97">
        <w:trPr>
          <w:jc w:val="center"/>
        </w:trPr>
        <w:tc>
          <w:tcPr>
            <w:tcW w:w="657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6747C0" w:rsidRPr="00BE3E19" w:rsidRDefault="006747C0" w:rsidP="007E0E9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E3E19">
              <w:rPr>
                <w:rFonts w:ascii="Times New Roman" w:hAnsi="Times New Roman"/>
                <w:sz w:val="24"/>
                <w:szCs w:val="24"/>
              </w:rPr>
              <w:t xml:space="preserve">Фактический уровень собираемости взносов на капитальный ремонт общего имущества многоквартирных домов за отчетный период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89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D7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47C0" w:rsidRPr="000063D7" w:rsidTr="00266BFB">
        <w:trPr>
          <w:cantSplit/>
          <w:trHeight w:val="1134"/>
          <w:jc w:val="center"/>
        </w:trPr>
        <w:tc>
          <w:tcPr>
            <w:tcW w:w="657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63D7">
              <w:rPr>
                <w:rFonts w:ascii="Times New Roman" w:hAnsi="Times New Roman"/>
                <w:sz w:val="24"/>
                <w:szCs w:val="24"/>
              </w:rP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</w:t>
            </w:r>
          </w:p>
        </w:tc>
        <w:tc>
          <w:tcPr>
            <w:tcW w:w="1489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D7">
              <w:rPr>
                <w:rFonts w:ascii="Times New Roman" w:hAnsi="Times New Roman"/>
                <w:sz w:val="24"/>
                <w:szCs w:val="24"/>
              </w:rPr>
              <w:t>в наличии/в разработке/ отсутствуют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</w:tcPr>
          <w:p w:rsidR="006747C0" w:rsidRPr="000063D7" w:rsidRDefault="006747C0" w:rsidP="007E0E9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</w:tcPr>
          <w:p w:rsidR="006747C0" w:rsidRPr="000063D7" w:rsidRDefault="006747C0" w:rsidP="007E0E9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</w:tcPr>
          <w:p w:rsidR="006747C0" w:rsidRPr="000063D7" w:rsidRDefault="006747C0" w:rsidP="007E0E9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939" w:type="dxa"/>
            <w:shd w:val="clear" w:color="auto" w:fill="auto"/>
            <w:textDirection w:val="btLr"/>
            <w:vAlign w:val="center"/>
          </w:tcPr>
          <w:p w:rsidR="006747C0" w:rsidRPr="004B3834" w:rsidRDefault="00EC3C18" w:rsidP="00266BFB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47C0" w:rsidRPr="004B3834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4B3834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747C0" w:rsidRPr="004B3834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747C0" w:rsidRPr="000063D7" w:rsidTr="007E0E97">
        <w:trPr>
          <w:jc w:val="center"/>
        </w:trPr>
        <w:tc>
          <w:tcPr>
            <w:tcW w:w="657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6747C0" w:rsidRPr="003111F8" w:rsidRDefault="006747C0" w:rsidP="007E0E9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11F8">
              <w:rPr>
                <w:rFonts w:ascii="Times New Roman" w:hAnsi="Times New Roman"/>
                <w:sz w:val="24"/>
                <w:szCs w:val="24"/>
              </w:rPr>
              <w:t>Фактический уровень собираемости платы граждан за предоставленные жилищно-коммунальные услуги за отчетный период</w:t>
            </w:r>
          </w:p>
        </w:tc>
        <w:tc>
          <w:tcPr>
            <w:tcW w:w="1489" w:type="dxa"/>
            <w:shd w:val="clear" w:color="auto" w:fill="auto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4B3834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6747C0" w:rsidRPr="000063D7" w:rsidRDefault="006747C0" w:rsidP="007E0E9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95,50</w:t>
            </w:r>
          </w:p>
        </w:tc>
      </w:tr>
    </w:tbl>
    <w:p w:rsidR="00D7522D" w:rsidRDefault="00D7522D" w:rsidP="001C55F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3A696C" w:rsidRDefault="003A696C" w:rsidP="001C55F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747C0" w:rsidRPr="001B256C" w:rsidRDefault="006747C0" w:rsidP="006747C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</w:rPr>
      </w:pPr>
      <w:r w:rsidRPr="001B256C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1B256C">
        <w:rPr>
          <w:rFonts w:ascii="Times New Roman" w:hAnsi="Times New Roman"/>
        </w:rPr>
        <w:t>Информация указана согласно данным Югорского фонда капитального ремонта многоквартирных домов</w:t>
      </w:r>
    </w:p>
    <w:p w:rsidR="001C55FB" w:rsidRPr="004C6122" w:rsidRDefault="001C55FB" w:rsidP="001C55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12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2. </w:t>
      </w:r>
      <w:proofErr w:type="gramStart"/>
      <w:r w:rsidRPr="004C6122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Показатели, характеризующие социально-экономическое развитие муниципального образования автономного округа, оценку эффективности деятельности органов местного самоуправления городских округов и муниципальных районов, за отчетный год и их планируемые значения на 3-летний период.</w:t>
      </w:r>
      <w:proofErr w:type="gramEnd"/>
    </w:p>
    <w:p w:rsidR="001C55FB" w:rsidRPr="004C6122" w:rsidRDefault="001C55FB" w:rsidP="000063D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67" w:type="pct"/>
        <w:tblLayout w:type="fixed"/>
        <w:tblLook w:val="04A0" w:firstRow="1" w:lastRow="0" w:firstColumn="1" w:lastColumn="0" w:noHBand="0" w:noVBand="1"/>
      </w:tblPr>
      <w:tblGrid>
        <w:gridCol w:w="566"/>
        <w:gridCol w:w="2517"/>
        <w:gridCol w:w="1164"/>
        <w:gridCol w:w="1216"/>
        <w:gridCol w:w="1167"/>
        <w:gridCol w:w="1167"/>
        <w:gridCol w:w="1167"/>
        <w:gridCol w:w="1167"/>
        <w:gridCol w:w="1167"/>
        <w:gridCol w:w="150"/>
        <w:gridCol w:w="1277"/>
        <w:gridCol w:w="2551"/>
      </w:tblGrid>
      <w:tr w:rsidR="003A696C" w:rsidRPr="003A696C" w:rsidTr="00384485">
        <w:trPr>
          <w:trHeight w:val="319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2D" w:rsidRPr="00E317DE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E317DE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E317DE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Единицы измерения 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E317DE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hAnsi="Times New Roman"/>
                <w:bCs/>
                <w:sz w:val="20"/>
                <w:szCs w:val="20"/>
              </w:rPr>
              <w:t>Завершённый период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2D" w:rsidRPr="00E317DE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hAnsi="Times New Roman"/>
                <w:b/>
                <w:bCs/>
                <w:sz w:val="20"/>
                <w:szCs w:val="20"/>
              </w:rPr>
              <w:t>Отчётный период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C2D" w:rsidRPr="00E317DE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317DE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3A696C" w:rsidRPr="003A696C" w:rsidTr="00384485">
        <w:trPr>
          <w:trHeight w:val="315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C2D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96C" w:rsidRPr="003A696C" w:rsidTr="00F10319">
        <w:trPr>
          <w:trHeight w:val="315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317DE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Экономическое развитие</w:t>
            </w:r>
          </w:p>
        </w:tc>
      </w:tr>
      <w:tr w:rsidR="00E317DE" w:rsidRPr="003A696C" w:rsidTr="00384485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211,3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84485" w:rsidRDefault="00384485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2021</w:t>
            </w:r>
            <w:r w:rsidR="00E317DE"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значение показателя указано в соответствии с данными сведений единого реестра субъектов малого и среднего предпринимательства Федерально</w:t>
            </w: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налоговой службы на 01.01.2022</w:t>
            </w:r>
          </w:p>
        </w:tc>
      </w:tr>
      <w:tr w:rsidR="00E317DE" w:rsidRPr="003A696C" w:rsidTr="00384485">
        <w:trPr>
          <w:trHeight w:val="17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84485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84485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F3587F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6 449 178,0</w:t>
            </w:r>
            <w:r w:rsidR="00E317DE"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F3587F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6 298 927,0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F3587F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7 803 909,0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8 355 526,0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9 232 587,6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10 016 494,8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10 886 953,6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84485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Росстата</w:t>
            </w:r>
          </w:p>
        </w:tc>
      </w:tr>
      <w:tr w:rsidR="00E317DE" w:rsidRPr="003A696C" w:rsidTr="00384485">
        <w:trPr>
          <w:trHeight w:val="70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площади земельных участков, являющихся объектами налогообложения земельным налогом, в </w:t>
            </w: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общей площади территории городского округа (муниципального района)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37,25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37,81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37,82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37,82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84485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84485">
        <w:trPr>
          <w:trHeight w:val="16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общем их числе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84485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района сельскохозяйственные организации отсутствуют</w:t>
            </w:r>
          </w:p>
          <w:p w:rsidR="00E317DE" w:rsidRPr="00384485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17DE" w:rsidRPr="003A696C" w:rsidTr="00384485">
        <w:trPr>
          <w:trHeight w:val="12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384485" w:rsidRDefault="00F3587F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84485" w:rsidRDefault="00384485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автомобильных дорог общего пользования местного значения, не отвечающих нормативным требованиям составляет</w:t>
            </w:r>
            <w:proofErr w:type="gramEnd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35,5 км. (СП Кедровый 14.8 км, СП </w:t>
            </w:r>
            <w:proofErr w:type="spellStart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5.8 км, СП </w:t>
            </w:r>
            <w:proofErr w:type="spellStart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14.9 км.).</w:t>
            </w:r>
          </w:p>
        </w:tc>
      </w:tr>
      <w:tr w:rsidR="00E317DE" w:rsidRPr="003A696C" w:rsidTr="00384485">
        <w:trPr>
          <w:trHeight w:val="178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  <w:p w:rsidR="00E317DE" w:rsidRPr="00E317DE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5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62,8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384485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84485" w:rsidRDefault="00E317DE" w:rsidP="00A548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Круглогодичное сообщение автомобильным транспортом осуществляется с населенными пунктами </w:t>
            </w:r>
            <w:proofErr w:type="spellStart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Ярки, </w:t>
            </w:r>
            <w:proofErr w:type="spellStart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Ягурьях</w:t>
            </w:r>
            <w:proofErr w:type="spellEnd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Батово</w:t>
            </w:r>
            <w:proofErr w:type="spellEnd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Бобровский. </w:t>
            </w:r>
          </w:p>
        </w:tc>
      </w:tr>
      <w:tr w:rsidR="003A696C" w:rsidRPr="003A696C" w:rsidTr="00384485">
        <w:trPr>
          <w:trHeight w:val="5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Среднемесячная номинальная начисленная заработная плата </w:t>
            </w: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работников</w:t>
            </w:r>
            <w:r w:rsidR="00BE03C5"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317DE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Неизвестные данные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84485">
        <w:trPr>
          <w:trHeight w:val="160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3A696C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крупных и средних предприятий и некоммерческих организаций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80 655,5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82 812,3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88 319,7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93 236,8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99 446,5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105 413,3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384485" w:rsidRDefault="00384485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111 738,0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84485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Основополагающим фактором роста оплаты труда работников крупных и средних предприятий района  остается топливно-энергетический комплекс. Уровень заработной платы по разделу «До</w:t>
            </w:r>
            <w:r w:rsidR="00384485"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быча полезных ископаемых» в 2021 году составил более 102,6 </w:t>
            </w:r>
            <w:r w:rsidRPr="00384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 </w:t>
            </w:r>
          </w:p>
        </w:tc>
      </w:tr>
      <w:tr w:rsidR="00E317DE" w:rsidRPr="003A696C" w:rsidTr="00384485">
        <w:trPr>
          <w:trHeight w:val="7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3A696C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дошкольных 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38 465,9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17DE">
              <w:rPr>
                <w:rFonts w:ascii="Times New Roman" w:hAnsi="Times New Roman"/>
                <w:bCs/>
                <w:sz w:val="20"/>
                <w:szCs w:val="20"/>
              </w:rPr>
              <w:t>41 271,5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</w:rPr>
              <w:t>45 086,7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844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49 413,9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57 340,8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57 340,8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57 340,8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84485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3A696C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общеобразовательных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48 768,9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317DE">
              <w:rPr>
                <w:rFonts w:ascii="Times New Roman" w:hAnsi="Times New Roman"/>
                <w:bCs/>
                <w:sz w:val="20"/>
                <w:szCs w:val="20"/>
              </w:rPr>
              <w:t>51 544,3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317DE">
              <w:rPr>
                <w:rFonts w:ascii="Times New Roman" w:hAnsi="Times New Roman"/>
                <w:bCs/>
                <w:sz w:val="20"/>
                <w:szCs w:val="20"/>
              </w:rPr>
              <w:t>59 620,5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485">
              <w:rPr>
                <w:rFonts w:ascii="Times New Roman" w:hAnsi="Times New Roman"/>
                <w:b/>
                <w:bCs/>
                <w:sz w:val="20"/>
                <w:szCs w:val="20"/>
              </w:rPr>
              <w:t>66 192,6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79 084,3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79 084,3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79 084,3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84485">
        <w:trPr>
          <w:trHeight w:val="68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3A696C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61 115,7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317DE" w:rsidRPr="00E317DE" w:rsidRDefault="00F3587F" w:rsidP="00E56B7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66 010,1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384485" w:rsidP="00E56B7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68 585,2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485">
              <w:rPr>
                <w:rFonts w:ascii="Times New Roman" w:hAnsi="Times New Roman"/>
                <w:b/>
                <w:bCs/>
                <w:sz w:val="20"/>
                <w:szCs w:val="20"/>
              </w:rPr>
              <w:t>77</w:t>
            </w:r>
            <w:r w:rsidR="00F358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4485">
              <w:rPr>
                <w:rFonts w:ascii="Times New Roman" w:hAnsi="Times New Roman"/>
                <w:b/>
                <w:bCs/>
                <w:sz w:val="20"/>
                <w:szCs w:val="20"/>
              </w:rPr>
              <w:t>245,5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80 335,3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80 335,3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80 335,3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84485">
        <w:trPr>
          <w:trHeight w:val="4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3A696C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59 547,6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17DE">
              <w:rPr>
                <w:rFonts w:ascii="Times New Roman" w:hAnsi="Times New Roman"/>
                <w:bCs/>
                <w:sz w:val="20"/>
                <w:szCs w:val="20"/>
              </w:rPr>
              <w:t>64 160,3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</w:rPr>
              <w:t>68 453,7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8448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67 223,9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69 912,9</w:t>
            </w:r>
          </w:p>
        </w:tc>
        <w:tc>
          <w:tcPr>
            <w:tcW w:w="4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72 709,4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75 617,7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84485">
        <w:trPr>
          <w:trHeight w:val="54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3A696C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муниципальных учреждений</w:t>
            </w: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физической культуры и спорта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36 246,5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317DE">
              <w:rPr>
                <w:rFonts w:ascii="Times New Roman" w:hAnsi="Times New Roman"/>
                <w:bCs/>
                <w:sz w:val="20"/>
                <w:szCs w:val="20"/>
              </w:rPr>
              <w:t>38 658,4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317DE">
              <w:rPr>
                <w:rFonts w:ascii="Times New Roman" w:hAnsi="Times New Roman"/>
                <w:bCs/>
                <w:sz w:val="20"/>
                <w:szCs w:val="20"/>
              </w:rPr>
              <w:t>42 249,3</w:t>
            </w:r>
          </w:p>
        </w:tc>
        <w:tc>
          <w:tcPr>
            <w:tcW w:w="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485">
              <w:rPr>
                <w:rFonts w:ascii="Times New Roman" w:hAnsi="Times New Roman"/>
                <w:b/>
                <w:bCs/>
                <w:sz w:val="20"/>
                <w:szCs w:val="20"/>
              </w:rPr>
              <w:t>47 135,5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49 020,9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50 981,8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84485" w:rsidRDefault="00384485" w:rsidP="00833C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4485">
              <w:rPr>
                <w:rFonts w:ascii="Times New Roman" w:hAnsi="Times New Roman"/>
                <w:sz w:val="20"/>
                <w:szCs w:val="20"/>
              </w:rPr>
              <w:t>53 021,0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A696C" w:rsidRPr="003A696C" w:rsidTr="00F10319">
        <w:trPr>
          <w:trHeight w:val="29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317DE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</w:tr>
      <w:tr w:rsidR="00E317DE" w:rsidRPr="003A696C" w:rsidTr="00384485">
        <w:trPr>
          <w:trHeight w:val="27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</w:t>
            </w: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численности детей в возрасте 1 - 6 лет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63,8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E252A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 2021</w:t>
            </w:r>
            <w:r w:rsidR="00E317DE"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 уменьшилось количество детей в возрасте 1 - 6 лет, получающих дошколь</w:t>
            </w: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ную образовательную услугу на 70</w:t>
            </w:r>
            <w:r w:rsidR="00E317DE"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человек.</w:t>
            </w:r>
          </w:p>
        </w:tc>
      </w:tr>
      <w:tr w:rsidR="00E317DE" w:rsidRPr="003A696C" w:rsidTr="00384485">
        <w:trPr>
          <w:trHeight w:val="213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Очередь в дошкольные образовательные организации отсутствует.</w:t>
            </w:r>
          </w:p>
        </w:tc>
      </w:tr>
      <w:tr w:rsidR="00E317DE" w:rsidRPr="003A696C" w:rsidTr="00384485">
        <w:trPr>
          <w:trHeight w:val="16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042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6042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696C" w:rsidRPr="003A696C" w:rsidTr="003501E4">
        <w:trPr>
          <w:trHeight w:val="19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317DE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и дополнительное образование</w:t>
            </w:r>
          </w:p>
        </w:tc>
      </w:tr>
      <w:tr w:rsidR="00E317DE" w:rsidRPr="003A696C" w:rsidTr="00EE252A">
        <w:trPr>
          <w:trHeight w:val="70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EE252A">
        <w:trPr>
          <w:trHeight w:val="12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F3587F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F3587F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F3587F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F3587F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EE252A">
        <w:trPr>
          <w:trHeight w:val="11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F3587F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F3587F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F3587F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F3587F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EE252A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83,7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EE252A">
        <w:trPr>
          <w:trHeight w:val="15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EE252A">
        <w:trPr>
          <w:trHeight w:val="5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427,8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F3587F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526,5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F3587F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574,0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Увеличение расходов бюджета муниципального образования на общее образование связано с увеличением расходов на реализацию основных общеобразовательных программ</w:t>
            </w:r>
          </w:p>
        </w:tc>
      </w:tr>
      <w:tr w:rsidR="00E317DE" w:rsidRPr="003A696C" w:rsidTr="00EE252A">
        <w:trPr>
          <w:trHeight w:val="5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с 5 до 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72,8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9.3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F3587F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317DE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317DE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317DE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317DE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696C" w:rsidRPr="003A696C" w:rsidTr="00F10319">
        <w:trPr>
          <w:trHeight w:val="277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317DE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</w:tr>
      <w:tr w:rsidR="003A696C" w:rsidRPr="003A696C" w:rsidTr="00EE252A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317DE" w:rsidRDefault="006C296C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E93C2D"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317DE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30BA0">
        <w:trPr>
          <w:trHeight w:val="27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клубами и учреждениями клубного типа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6C2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156,3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E252A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6C29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A32" w:rsidRPr="008B4A32" w:rsidRDefault="008B4A32" w:rsidP="003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распоряжением </w:t>
            </w:r>
            <w:r w:rsidRPr="008B4A32">
              <w:rPr>
                <w:rFonts w:ascii="Times New Roman" w:eastAsiaTheme="minorHAnsi" w:hAnsi="Times New Roman"/>
                <w:sz w:val="20"/>
                <w:szCs w:val="20"/>
              </w:rPr>
              <w:t>Министерства</w:t>
            </w:r>
          </w:p>
          <w:p w:rsidR="00E317DE" w:rsidRPr="008B4A32" w:rsidRDefault="00E77DA0" w:rsidP="00330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культуры Российской Федерации от 2 августа 2017 года  </w:t>
            </w:r>
            <w:r w:rsidR="008B4A32">
              <w:rPr>
                <w:rFonts w:ascii="Times New Roman" w:eastAsiaTheme="minorHAnsi" w:hAnsi="Times New Roman"/>
                <w:sz w:val="20"/>
                <w:szCs w:val="20"/>
              </w:rPr>
              <w:t>№ Р-965</w:t>
            </w:r>
            <w:r w:rsidR="00330BA0">
              <w:rPr>
                <w:rFonts w:ascii="Times New Roman" w:eastAsiaTheme="minorHAnsi" w:hAnsi="Times New Roman"/>
                <w:sz w:val="20"/>
                <w:szCs w:val="20"/>
              </w:rPr>
              <w:t xml:space="preserve"> «</w:t>
            </w:r>
            <w:proofErr w:type="gramStart"/>
            <w:r w:rsidR="00330BA0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hyperlink r:id="rId15" w:history="1">
              <w:r w:rsidR="00330BA0" w:rsidRPr="00330BA0">
                <w:rPr>
                  <w:rFonts w:ascii="Times New Roman" w:eastAsiaTheme="minorHAnsi" w:hAnsi="Times New Roman"/>
                  <w:sz w:val="20"/>
                  <w:szCs w:val="20"/>
                </w:rPr>
                <w:t>етодические</w:t>
              </w:r>
              <w:proofErr w:type="gramEnd"/>
              <w:r w:rsidR="00330BA0" w:rsidRPr="00330BA0">
                <w:rPr>
                  <w:rFonts w:ascii="Times New Roman" w:eastAsiaTheme="minorHAnsi" w:hAnsi="Times New Roman"/>
                  <w:sz w:val="20"/>
                  <w:szCs w:val="20"/>
                </w:rPr>
                <w:t xml:space="preserve"> рекомендации</w:t>
              </w:r>
            </w:hyperlink>
            <w:r w:rsidR="00330BA0">
              <w:rPr>
                <w:rFonts w:ascii="Times New Roman" w:eastAsiaTheme="minorHAnsi" w:hAnsi="Times New Roman"/>
                <w:sz w:val="20"/>
                <w:szCs w:val="20"/>
              </w:rPr>
      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</w:t>
            </w:r>
            <w:r w:rsidR="00330BA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культуры».</w:t>
            </w:r>
          </w:p>
        </w:tc>
      </w:tr>
      <w:tr w:rsidR="00E317DE" w:rsidRPr="003A696C" w:rsidTr="00EE252A">
        <w:trPr>
          <w:trHeight w:val="39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F3587F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F3587F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F3587F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EE252A">
        <w:trPr>
          <w:trHeight w:val="42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парками культуры и отдыха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56607E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60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EE252A">
        <w:trPr>
          <w:trHeight w:val="26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56607E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60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EE252A">
        <w:trPr>
          <w:trHeight w:val="5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Объектами культурного наследия являются деревянная церковь (сельский клуб) (нач. 19 в) с. </w:t>
            </w:r>
            <w:proofErr w:type="spellStart"/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Зенково</w:t>
            </w:r>
            <w:proofErr w:type="spellEnd"/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каменная церковь «Вознесенская» (конец XIX века) п. </w:t>
            </w:r>
            <w:proofErr w:type="spellStart"/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церковь во имя иконы Пресвятой Богородицы "Всех скорбящих радость" с. Елизарово </w:t>
            </w:r>
          </w:p>
        </w:tc>
      </w:tr>
      <w:tr w:rsidR="003A696C" w:rsidRPr="003A696C" w:rsidTr="00F10319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317DE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E317DE" w:rsidRPr="003A696C" w:rsidTr="00EE252A">
        <w:trPr>
          <w:trHeight w:val="7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E252A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38,8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982549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EE252A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E252A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71,6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EE252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982549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197D7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EE252A" w:rsidRDefault="00197D7A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E252A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5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696C" w:rsidRPr="003A696C" w:rsidTr="00F10319">
        <w:trPr>
          <w:trHeight w:val="323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317DE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Жилищное строительство и обеспечение граждан жильем</w:t>
            </w:r>
          </w:p>
        </w:tc>
      </w:tr>
      <w:tr w:rsidR="00E317DE" w:rsidRPr="003A696C" w:rsidTr="00EE252A">
        <w:trPr>
          <w:trHeight w:val="8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22,3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A729FB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предварительным данным объем жилищного фонда Ханты-Мансийского райо</w:t>
            </w:r>
            <w:r w:rsidR="00A729FB"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по состоянию на 1 января 2022 года составляет 451,0</w:t>
            </w: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кв. метров.</w:t>
            </w:r>
          </w:p>
        </w:tc>
      </w:tr>
      <w:tr w:rsidR="00E317DE" w:rsidRPr="003A696C" w:rsidTr="00EE252A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введённая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действие за один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0,66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A729FB" w:rsidRDefault="00A729FB" w:rsidP="00D50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2021</w:t>
            </w:r>
            <w:r w:rsidR="00E317DE"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году введено в действие 16 981</w:t>
            </w:r>
            <w:r w:rsidR="00E317DE"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317DE"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E317DE"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жилых домов.</w:t>
            </w:r>
          </w:p>
        </w:tc>
      </w:tr>
      <w:tr w:rsidR="00E317DE" w:rsidRPr="003A696C" w:rsidTr="00EE252A">
        <w:trPr>
          <w:trHeight w:val="26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1418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1 174,6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1 202,7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E1DE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141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E1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A729FB" w:rsidRDefault="00A729FB" w:rsidP="001418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Тенденция снижения отвода земельных участков для жилищного строительства связана с внесением в Единый государственный реестр недвижимости границ зон затопления и подтопления. Учитывая  обстоятельство, что по территории района протекают две крупные реки Российской Федерации – Обь и Иртыш, площадь зоны с особыми условиями использования территории  с ограничениями и полным запретом на строительство составляет значительную его долю. Так как в основном населенные пункты располагаются вдоль рек, то попадают в зону с особыми условиями использования территории с ограничениями и полным запретом на строительство.</w:t>
            </w:r>
          </w:p>
        </w:tc>
      </w:tr>
      <w:tr w:rsidR="00E317DE" w:rsidRPr="003A696C" w:rsidTr="00EE252A">
        <w:trPr>
          <w:trHeight w:val="169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 площадь земельных участков, предоставленных для строительства</w:t>
            </w: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расчете на 10 тыс. </w:t>
            </w: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населения, в том числе</w:t>
            </w: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земельных участков, представленных для жилищного строительства, индивидуального строительства и комплексного освоения </w:t>
            </w: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целях жилищного строительства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C8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2,5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A729FB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17DE" w:rsidRPr="003A696C" w:rsidTr="00EE252A">
        <w:trPr>
          <w:trHeight w:val="23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854F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A729FB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отншении</w:t>
            </w:r>
            <w:proofErr w:type="spellEnd"/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земельных участков, предоставленных для строительства, обеспечивается получение разрешения на ввод в эксплуатацию: объектов жилищного строительства - в течение 3 лет; иных объектов капитального строительства - в течение 5 лет  - </w:t>
            </w:r>
            <w:proofErr w:type="gramStart"/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</w:t>
            </w:r>
          </w:p>
        </w:tc>
      </w:tr>
      <w:tr w:rsidR="00E317DE" w:rsidRPr="003A696C" w:rsidTr="00EE252A">
        <w:trPr>
          <w:trHeight w:val="57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объектов жилищного строительства - в течение 3 лет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EE252A">
        <w:trPr>
          <w:trHeight w:val="55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иных объектов капитального строительства - в течение 5 лет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A696C" w:rsidRPr="003A696C" w:rsidTr="00F10319">
        <w:trPr>
          <w:trHeight w:val="346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317DE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E317DE" w:rsidRPr="003A696C" w:rsidTr="00A729FB">
        <w:trPr>
          <w:trHeight w:val="70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A729FB">
        <w:trPr>
          <w:trHeight w:val="26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</w:t>
            </w: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комплекса,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C8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C8505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9F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852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9F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C8505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9FB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A729FB">
        <w:trPr>
          <w:trHeight w:val="9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C8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A729FB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A729FB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A729FB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A729FB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Вновь вводимые в течение календарного года многоквартирные дома, расположены на земельных участках, в отношении которых государственный кадастровый учет уже осуществлен - земельные участки сформируются для целей многоквартирного жилищного строительства и до начала застройки обеспечивается их поставка на государственный кадастровый учет с видом разрешенного использования "малоэтажная многоквартирная жилая застройка"</w:t>
            </w:r>
          </w:p>
        </w:tc>
      </w:tr>
      <w:tr w:rsidR="00E317DE" w:rsidRPr="003A696C" w:rsidTr="00A729FB">
        <w:trPr>
          <w:trHeight w:val="169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317DE" w:rsidRPr="00E317DE" w:rsidRDefault="00E317DE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C85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C85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A729FB" w:rsidRDefault="00A729FB" w:rsidP="00C85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показателя связано с уменьшением численности населения, получившего жилые помещения и улучшившего жилищные условия в 2022 году при одновременном увеличении численности лиц, состоящих на учете в качестве нуждающихся в жилых помещениях.</w:t>
            </w:r>
          </w:p>
        </w:tc>
      </w:tr>
      <w:tr w:rsidR="003A696C" w:rsidRPr="003A696C" w:rsidTr="00F10319">
        <w:trPr>
          <w:trHeight w:val="27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317DE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муниципального управления</w:t>
            </w:r>
          </w:p>
        </w:tc>
      </w:tr>
      <w:tr w:rsidR="00E317DE" w:rsidRPr="003A696C" w:rsidTr="00A729FB">
        <w:trPr>
          <w:trHeight w:val="186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39,3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A729FB" w:rsidRDefault="00A729FB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 показателя по отношению к 2020 году обусловлен увеличением  поступлений в 2021 году неналоговых доходов на 0,5%, поступлений налоговых доходов на 2,3% в сопоставимых условиях (без учета дополнительного норматива)</w:t>
            </w:r>
          </w:p>
        </w:tc>
      </w:tr>
      <w:tr w:rsidR="00E317DE" w:rsidRPr="003A696C" w:rsidTr="00A729FB">
        <w:trPr>
          <w:trHeight w:val="5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A729FB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785 983,2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585 625,9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420 288,2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507 567,1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450 288,2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3C7C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450 288,2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A729FB" w:rsidRDefault="00A729FB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450 288,2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35D47">
        <w:trPr>
          <w:trHeight w:val="125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A729FB" w:rsidRDefault="00A729FB" w:rsidP="00833C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9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35D47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9 439,7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9 437,9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10 585,1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35D47" w:rsidRDefault="00335D47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10 401,5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35D47" w:rsidRDefault="00335D47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8 886,8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35D47" w:rsidRDefault="00335D47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8 914,1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35D47" w:rsidRDefault="00335D47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8 914,1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35D47" w:rsidRDefault="00335D47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расходов произошло в связи с оптимизацией численности работников органов местного самоуправления</w:t>
            </w:r>
          </w:p>
        </w:tc>
      </w:tr>
      <w:tr w:rsidR="00E317DE" w:rsidRPr="003A696C" w:rsidTr="00335D47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35D47" w:rsidRDefault="00335D47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35D47" w:rsidRDefault="00335D47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35D47" w:rsidRDefault="00335D47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335D47" w:rsidRDefault="00335D47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35D47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A729FB">
        <w:trPr>
          <w:trHeight w:val="42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Процент от числа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70,0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35D47" w:rsidRDefault="00335D47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35D47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35D47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35D47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35D47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A729FB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20,022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19,903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19,706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35D47" w:rsidRDefault="00335D47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19,440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35D47" w:rsidRDefault="00335D47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19,400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35D47" w:rsidRDefault="00335D47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19,400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35D47" w:rsidRDefault="00335D47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35D47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5D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696C" w:rsidRPr="003A696C" w:rsidTr="003501E4">
        <w:trPr>
          <w:trHeight w:val="262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3C2D" w:rsidRPr="00E317DE" w:rsidRDefault="00E93C2D" w:rsidP="00E9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3A696C" w:rsidRPr="003A696C" w:rsidTr="00335D47">
        <w:trPr>
          <w:trHeight w:val="6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317DE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E317DE" w:rsidRDefault="00E93C2D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D64C2A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D64C2A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D64C2A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C2D" w:rsidRPr="00D64C2A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C2D" w:rsidRPr="003A696C" w:rsidRDefault="00E93C2D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35D47">
        <w:trPr>
          <w:trHeight w:val="8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A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килловат</w:t>
            </w:r>
            <w:proofErr w:type="spell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час на 1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jc w:val="right"/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1 010,48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56607E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60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1 082,31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4C2A">
              <w:rPr>
                <w:rFonts w:ascii="Times New Roman" w:hAnsi="Times New Roman"/>
                <w:sz w:val="20"/>
                <w:szCs w:val="20"/>
              </w:rPr>
              <w:t>1 082,31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1 082,31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4C2A">
              <w:rPr>
                <w:rFonts w:ascii="Times New Roman" w:hAnsi="Times New Roman"/>
                <w:sz w:val="20"/>
                <w:szCs w:val="20"/>
              </w:rPr>
              <w:t>1 082,31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AA05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35D47">
        <w:trPr>
          <w:trHeight w:val="82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1кв. метр общей площади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D64C2A" w:rsidRDefault="00D64C2A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D64C2A" w:rsidRDefault="00D64C2A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D64C2A" w:rsidRDefault="00D64C2A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D64C2A" w:rsidRDefault="00D64C2A" w:rsidP="00EF6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35D47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17,55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17,55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56607E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60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D64C2A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35D47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EF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13,21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13,21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56607E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60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D64C2A" w:rsidRDefault="00E317DE" w:rsidP="00EF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313" w:rsidRPr="003A696C" w:rsidTr="00335D47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13" w:rsidRPr="00E317DE" w:rsidRDefault="005E2313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13" w:rsidRPr="00E317DE" w:rsidRDefault="005E2313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13" w:rsidRPr="00E317DE" w:rsidRDefault="005E2313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313" w:rsidRPr="00E317DE" w:rsidRDefault="005E2313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313" w:rsidRPr="00E317DE" w:rsidRDefault="005E2313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313" w:rsidRPr="00E317DE" w:rsidRDefault="005E2313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101,30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313" w:rsidRPr="005E2313" w:rsidRDefault="005E2313" w:rsidP="005E23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313">
              <w:rPr>
                <w:rFonts w:ascii="Times New Roman" w:hAnsi="Times New Roman"/>
                <w:sz w:val="20"/>
                <w:szCs w:val="20"/>
              </w:rPr>
              <w:t xml:space="preserve"> 103,37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313" w:rsidRPr="005E2313" w:rsidRDefault="005E2313" w:rsidP="005E23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313">
              <w:rPr>
                <w:rFonts w:ascii="Times New Roman" w:hAnsi="Times New Roman"/>
                <w:sz w:val="20"/>
                <w:szCs w:val="20"/>
              </w:rPr>
              <w:t xml:space="preserve"> 108,23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313" w:rsidRPr="005E2313" w:rsidRDefault="005E2313" w:rsidP="005E23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313">
              <w:rPr>
                <w:rFonts w:ascii="Times New Roman" w:hAnsi="Times New Roman"/>
                <w:sz w:val="20"/>
                <w:szCs w:val="20"/>
              </w:rPr>
              <w:t xml:space="preserve"> 114,01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313" w:rsidRPr="005E2313" w:rsidRDefault="005E2313" w:rsidP="005E23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313">
              <w:rPr>
                <w:rFonts w:ascii="Times New Roman" w:hAnsi="Times New Roman"/>
                <w:sz w:val="20"/>
                <w:szCs w:val="20"/>
              </w:rPr>
              <w:t xml:space="preserve"> 123,37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13" w:rsidRPr="00D64C2A" w:rsidRDefault="005E2313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35D47">
        <w:trPr>
          <w:trHeight w:val="7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Неизвестные данные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A696C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A696C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A696C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3A696C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3A696C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A696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35D47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A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килловат</w:t>
            </w:r>
            <w:proofErr w:type="spell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час на 1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337,71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17DE">
              <w:rPr>
                <w:rFonts w:ascii="Times New Roman" w:hAnsi="Times New Roman"/>
                <w:bCs/>
                <w:sz w:val="20"/>
                <w:szCs w:val="20"/>
              </w:rPr>
              <w:t xml:space="preserve"> 339,73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</w:rPr>
              <w:t>343,13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317DE" w:rsidRPr="00D64C2A" w:rsidRDefault="00D64C2A" w:rsidP="00AA05A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4C2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382,23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317DE" w:rsidRPr="00D64C2A" w:rsidRDefault="00D64C2A" w:rsidP="00AA05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4C2A">
              <w:rPr>
                <w:rFonts w:ascii="Times New Roman" w:hAnsi="Times New Roman"/>
                <w:sz w:val="20"/>
                <w:szCs w:val="20"/>
              </w:rPr>
              <w:t>383,11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317DE" w:rsidRPr="00D64C2A" w:rsidRDefault="00D64C2A" w:rsidP="00AA05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4C2A">
              <w:rPr>
                <w:rFonts w:ascii="Times New Roman" w:hAnsi="Times New Roman"/>
                <w:sz w:val="20"/>
                <w:szCs w:val="20"/>
              </w:rPr>
              <w:t>383,11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317DE" w:rsidRPr="00D64C2A" w:rsidRDefault="00D64C2A" w:rsidP="00AA05A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4C2A">
              <w:rPr>
                <w:rFonts w:ascii="Times New Roman" w:hAnsi="Times New Roman"/>
                <w:sz w:val="20"/>
                <w:szCs w:val="20"/>
              </w:rPr>
              <w:t>383,11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D64C2A" w:rsidRDefault="00E317D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35D47">
        <w:trPr>
          <w:trHeight w:val="7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A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Гкал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1кв. метр общей площади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0,23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56607E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60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D64C2A" w:rsidRDefault="00E317D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7DE" w:rsidRPr="003A696C" w:rsidTr="00335D47">
        <w:trPr>
          <w:trHeight w:val="102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AA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0,13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56607E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660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7DE" w:rsidRPr="00D64C2A" w:rsidRDefault="00D64C2A" w:rsidP="001F71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D64C2A" w:rsidRDefault="00E317DE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2313" w:rsidRPr="003A696C" w:rsidTr="00335D47">
        <w:trPr>
          <w:trHeight w:val="28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13" w:rsidRPr="00E317DE" w:rsidRDefault="005E2313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13" w:rsidRPr="00E317DE" w:rsidRDefault="005E2313" w:rsidP="00AA05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313" w:rsidRPr="00E317DE" w:rsidRDefault="005E2313" w:rsidP="00AA0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313" w:rsidRPr="00E317DE" w:rsidRDefault="005E2313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2,57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313" w:rsidRPr="00E317DE" w:rsidRDefault="005E2313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3,94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313" w:rsidRPr="00E317DE" w:rsidRDefault="005E2313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313" w:rsidRPr="005E2313" w:rsidRDefault="005E2313" w:rsidP="005E231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E2313">
              <w:rPr>
                <w:rFonts w:ascii="Times New Roman" w:hAnsi="Times New Roman"/>
                <w:b/>
                <w:sz w:val="20"/>
                <w:szCs w:val="20"/>
              </w:rPr>
              <w:t xml:space="preserve"> 4,03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313" w:rsidRPr="005E2313" w:rsidRDefault="005E2313" w:rsidP="005E23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313">
              <w:rPr>
                <w:rFonts w:ascii="Times New Roman" w:hAnsi="Times New Roman"/>
                <w:sz w:val="20"/>
                <w:szCs w:val="20"/>
              </w:rPr>
              <w:t xml:space="preserve"> 4,04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313" w:rsidRPr="005E2313" w:rsidRDefault="005E2313" w:rsidP="005E23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313">
              <w:rPr>
                <w:rFonts w:ascii="Times New Roman" w:hAnsi="Times New Roman"/>
                <w:sz w:val="20"/>
                <w:szCs w:val="20"/>
              </w:rPr>
              <w:t xml:space="preserve"> 4,04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2313" w:rsidRPr="005E2313" w:rsidRDefault="005E2313" w:rsidP="005E23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2313">
              <w:rPr>
                <w:rFonts w:ascii="Times New Roman" w:hAnsi="Times New Roman"/>
                <w:sz w:val="20"/>
                <w:szCs w:val="20"/>
              </w:rPr>
              <w:t xml:space="preserve"> 4,04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313" w:rsidRPr="003A696C" w:rsidRDefault="005E2313" w:rsidP="00AA05A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317DE" w:rsidRPr="003A696C" w:rsidTr="00335D47">
        <w:trPr>
          <w:trHeight w:val="102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кубических метров на 1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2,45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D64C2A" w:rsidRDefault="00D64C2A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D64C2A" w:rsidRDefault="00D64C2A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D64C2A" w:rsidRDefault="00D64C2A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D64C2A" w:rsidRDefault="00D64C2A" w:rsidP="00214D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D64C2A" w:rsidRDefault="005E2313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3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показаний приборов учета ответственным лицом подавались показания некорректно. В ходе контрольной проверки показания в 2021 году откорректированы.</w:t>
            </w:r>
          </w:p>
        </w:tc>
      </w:tr>
      <w:tr w:rsidR="00E317DE" w:rsidRPr="003A696C" w:rsidTr="00335D47">
        <w:trPr>
          <w:trHeight w:val="26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DE" w:rsidRPr="00E317DE" w:rsidRDefault="00E317DE" w:rsidP="00214D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независимой </w:t>
            </w:r>
            <w:proofErr w:type="gramStart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</w:t>
            </w: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бюджетов муниципальных образований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214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процентов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101,8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E317DE" w:rsidRDefault="00E317DE" w:rsidP="00E56B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197D7A" w:rsidRDefault="00197D7A" w:rsidP="00197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97D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197D7A" w:rsidRDefault="00197D7A" w:rsidP="00197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197D7A" w:rsidRDefault="00197D7A" w:rsidP="00197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7DE" w:rsidRPr="00197D7A" w:rsidRDefault="00197D7A" w:rsidP="00197D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DE" w:rsidRPr="005C708C" w:rsidRDefault="00E317DE" w:rsidP="009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e"/>
                <w:rFonts w:ascii="Times New Roman" w:eastAsiaTheme="minorHAnsi" w:hAnsi="Times New Roman"/>
                <w:color w:val="auto"/>
                <w:sz w:val="20"/>
                <w:szCs w:val="20"/>
              </w:rPr>
            </w:pPr>
            <w:r w:rsidRPr="005C708C">
              <w:rPr>
                <w:rFonts w:ascii="Times New Roman" w:eastAsiaTheme="minorHAnsi" w:hAnsi="Times New Roman"/>
                <w:sz w:val="20"/>
                <w:szCs w:val="20"/>
              </w:rPr>
              <w:t>Независимая</w:t>
            </w:r>
            <w:r w:rsidRPr="005C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оценка качества условий оказания   услуг муниципальными организациями в сферах культуры, охраны здоровья, образования, социального обслуживания и иными организациями</w:t>
            </w:r>
            <w:r w:rsidRPr="005C708C">
              <w:rPr>
                <w:rFonts w:ascii="Times New Roman" w:eastAsiaTheme="minorHAnsi" w:hAnsi="Times New Roman"/>
                <w:sz w:val="20"/>
                <w:szCs w:val="20"/>
              </w:rPr>
              <w:t xml:space="preserve">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 Результаты независимой оценки размещаются на сайте  </w:t>
            </w:r>
            <w:hyperlink r:id="rId16" w:history="1">
              <w:r w:rsidRPr="005C708C">
                <w:rPr>
                  <w:rStyle w:val="ae"/>
                  <w:rFonts w:ascii="Times New Roman" w:eastAsiaTheme="minorHAnsi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5C708C">
                <w:rPr>
                  <w:rStyle w:val="ae"/>
                  <w:rFonts w:ascii="Times New Roman" w:eastAsiaTheme="minorHAnsi" w:hAnsi="Times New Roman"/>
                  <w:color w:val="auto"/>
                  <w:sz w:val="20"/>
                  <w:szCs w:val="20"/>
                </w:rPr>
                <w:t>.bus.gov.ru</w:t>
              </w:r>
            </w:hyperlink>
            <w:r w:rsidR="005C708C" w:rsidRPr="005C708C">
              <w:rPr>
                <w:rStyle w:val="ae"/>
                <w:rFonts w:ascii="Times New Roman" w:eastAsiaTheme="minorHAnsi" w:hAnsi="Times New Roman"/>
                <w:color w:val="auto"/>
                <w:sz w:val="20"/>
                <w:szCs w:val="20"/>
              </w:rPr>
              <w:t xml:space="preserve"> </w:t>
            </w:r>
          </w:p>
          <w:p w:rsidR="005C708C" w:rsidRPr="005C708C" w:rsidRDefault="005C708C" w:rsidP="0097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5C708C">
              <w:rPr>
                <w:rStyle w:val="ae"/>
                <w:rFonts w:ascii="Times New Roman" w:eastAsiaTheme="minorHAnsi" w:hAnsi="Times New Roman"/>
                <w:color w:val="auto"/>
                <w:sz w:val="20"/>
                <w:szCs w:val="20"/>
                <w:u w:val="none"/>
              </w:rPr>
              <w:t>За 2021 год результаты независимой оценки на сайте не размещены.</w:t>
            </w:r>
          </w:p>
        </w:tc>
      </w:tr>
    </w:tbl>
    <w:p w:rsidR="001C55FB" w:rsidRPr="00FE15E5" w:rsidRDefault="001C55FB" w:rsidP="000063D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C55FB" w:rsidRPr="00FE15E5" w:rsidRDefault="001C55FB" w:rsidP="000063D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C55FB" w:rsidRPr="00FE15E5" w:rsidRDefault="001C55FB" w:rsidP="000063D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C55FB" w:rsidRPr="00FE15E5" w:rsidRDefault="001C55FB" w:rsidP="000063D7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1C55FB" w:rsidRPr="00FE15E5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sectPr w:rsidR="001C55FB" w:rsidRPr="00FE15E5" w:rsidSect="003111F8">
          <w:pgSz w:w="16838" w:h="11906" w:orient="landscape"/>
          <w:pgMar w:top="1559" w:right="1418" w:bottom="964" w:left="1134" w:header="709" w:footer="709" w:gutter="0"/>
          <w:cols w:space="708"/>
          <w:docGrid w:linePitch="360"/>
        </w:sectPr>
      </w:pPr>
    </w:p>
    <w:p w:rsidR="001C55FB" w:rsidRPr="00CB4394" w:rsidRDefault="001C55FB" w:rsidP="001C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B43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услуг.</w:t>
      </w:r>
    </w:p>
    <w:p w:rsidR="001C55FB" w:rsidRPr="00CB4394" w:rsidRDefault="001C55FB" w:rsidP="001C55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1988" w:rsidRDefault="00B0643D" w:rsidP="004C1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B0643D">
        <w:rPr>
          <w:rFonts w:ascii="Times New Roman" w:eastAsiaTheme="minorHAnsi" w:hAnsi="Times New Roman"/>
          <w:b/>
          <w:i/>
          <w:sz w:val="24"/>
          <w:szCs w:val="24"/>
        </w:rPr>
        <w:t>3</w:t>
      </w:r>
      <w:r>
        <w:rPr>
          <w:rFonts w:ascii="Times New Roman" w:eastAsiaTheme="minorHAnsi" w:hAnsi="Times New Roman"/>
          <w:b/>
          <w:i/>
          <w:sz w:val="24"/>
          <w:szCs w:val="24"/>
        </w:rPr>
        <w:t>.1</w:t>
      </w:r>
      <w:r w:rsidRPr="00B0643D">
        <w:rPr>
          <w:rFonts w:ascii="Times New Roman" w:eastAsiaTheme="minorHAnsi" w:hAnsi="Times New Roman"/>
          <w:b/>
          <w:i/>
          <w:sz w:val="24"/>
          <w:szCs w:val="24"/>
        </w:rPr>
        <w:t>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proofErr w:type="gramStart"/>
      <w:r w:rsidRPr="004C1988">
        <w:rPr>
          <w:rFonts w:ascii="Times New Roman" w:hAnsi="Times New Roman"/>
          <w:sz w:val="24"/>
          <w:szCs w:val="24"/>
        </w:rPr>
        <w:t>В целях обеспечения информационной открытости деятельности администрации Ханты-Мансийского района и ее органов, реализации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постановления администрации Ханты-Мансийского района от 11.01.2017 № 2 «Об официальном сайте администрации Ханты-Мансийского района», а также предоставления полной и актуальной информации о деятельности администрации Ханты-Мансийского района</w:t>
      </w:r>
      <w:proofErr w:type="gramEnd"/>
      <w:r w:rsidRPr="004C1988">
        <w:rPr>
          <w:rFonts w:ascii="Times New Roman" w:hAnsi="Times New Roman"/>
          <w:sz w:val="24"/>
          <w:szCs w:val="24"/>
        </w:rPr>
        <w:t xml:space="preserve"> и ее органов, обеспечения  прав  граждан  и  организаций  на  получение информации о деятельности администрации Ханты-Мансийского района и ее органов, осуществляется бесперебойное функционирование программно-аппаратного комплекса официального сайта. </w:t>
      </w:r>
    </w:p>
    <w:p w:rsidR="004C1988" w:rsidRPr="004C1988" w:rsidRDefault="004C1988" w:rsidP="004C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hAnsi="Times New Roman"/>
          <w:sz w:val="24"/>
          <w:szCs w:val="24"/>
        </w:rPr>
        <w:tab/>
        <w:t>Структура сайта организована под задачи органов местного самоуправления Ханты-Мансийского района. Информационное наполнение полностью соответствует требованиям Федеральных Законов №8-ФЗ, №59-ФЗ, №94-ФЗ, №98-ФЗ. Широкие функциональные возможности и адаптивный интерфейс позволяет решить большинство задач, связанных с созданием, планированием и развитием сайта органов местного самоуправления. За 2021 год официальный сайт администрации района посетило не менее 1</w:t>
      </w:r>
      <w:r w:rsidR="00BC7030">
        <w:rPr>
          <w:rFonts w:ascii="Times New Roman" w:hAnsi="Times New Roman"/>
          <w:sz w:val="24"/>
          <w:szCs w:val="24"/>
        </w:rPr>
        <w:t xml:space="preserve"> </w:t>
      </w:r>
      <w:r w:rsidRPr="004C1988">
        <w:rPr>
          <w:rFonts w:ascii="Times New Roman" w:hAnsi="Times New Roman"/>
          <w:sz w:val="24"/>
          <w:szCs w:val="24"/>
        </w:rPr>
        <w:t>1</w:t>
      </w:r>
      <w:r w:rsidR="00BC7030">
        <w:rPr>
          <w:rFonts w:ascii="Times New Roman" w:hAnsi="Times New Roman"/>
          <w:sz w:val="24"/>
          <w:szCs w:val="24"/>
        </w:rPr>
        <w:t>88 тыс. пользователей</w:t>
      </w:r>
      <w:r w:rsidRPr="004C1988">
        <w:rPr>
          <w:rFonts w:ascii="Times New Roman" w:hAnsi="Times New Roman"/>
          <w:sz w:val="24"/>
          <w:szCs w:val="24"/>
        </w:rPr>
        <w:t>.</w:t>
      </w:r>
    </w:p>
    <w:p w:rsidR="004C1988" w:rsidRPr="004C1988" w:rsidRDefault="004C1988" w:rsidP="004C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hAnsi="Times New Roman"/>
          <w:sz w:val="24"/>
          <w:szCs w:val="24"/>
        </w:rPr>
        <w:tab/>
        <w:t>На сайте организована система обратной связи населения с главой района в разделе «Обращения граждан», с помощью которого жители района имеют возможность поделиться своим мнением о работе администрации района, коммунальных служб, обозначить проблемы, требующие решения, получить разъяснения по интересующим вопросам.</w:t>
      </w:r>
    </w:p>
    <w:p w:rsidR="004C1988" w:rsidRPr="004C1988" w:rsidRDefault="004C1988" w:rsidP="004C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hAnsi="Times New Roman"/>
          <w:sz w:val="24"/>
          <w:szCs w:val="24"/>
        </w:rPr>
        <w:tab/>
        <w:t>С целью совершенствования механизма предварительного рассмотрения проектов общественно значимых нормативных правовых актов реализована возможность направления предложений в адрес разработчика нормативных правовых актов на этапе проекта документа.</w:t>
      </w:r>
    </w:p>
    <w:p w:rsidR="004C1988" w:rsidRPr="004C1988" w:rsidRDefault="004C1988" w:rsidP="004C19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hAnsi="Times New Roman"/>
          <w:sz w:val="24"/>
          <w:szCs w:val="24"/>
        </w:rPr>
        <w:t>На официальном сайте администрации района в отчетном году опубликовано 208 проектов нормативно-правовых актов, 111 распоряжений и 280 постановление администрации Ханты-Мансийского района.</w:t>
      </w:r>
      <w:r w:rsidRPr="004C1988">
        <w:rPr>
          <w:rFonts w:ascii="Times New Roman" w:hAnsi="Times New Roman"/>
          <w:sz w:val="24"/>
          <w:szCs w:val="24"/>
        </w:rPr>
        <w:tab/>
        <w:t>Органом администрации, ответственным за информационное обеспечение, проводится обучение специалистов структурных подразделений администрации Ханты-Мансийского района, ответственных за представление информации для соответствующих разделов официального сайта администрации Ханты-Мансийского района. С правом редактирования и наполнения тематических разделов зарегистрировано 59 пользователя.</w:t>
      </w:r>
    </w:p>
    <w:p w:rsidR="004C1988" w:rsidRPr="004C1988" w:rsidRDefault="004C1988" w:rsidP="004C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hAnsi="Times New Roman"/>
          <w:sz w:val="24"/>
          <w:szCs w:val="24"/>
        </w:rPr>
        <w:tab/>
        <w:t>В соответствии с Приложением 4 к постановлению администрации Ханты-Мансийского района от 11.01.2017 № 2 «Об официальном сайте администрации Ханты-Мансийского района» определена периодичность обновления соответствующих разделов.</w:t>
      </w:r>
    </w:p>
    <w:p w:rsidR="004C1988" w:rsidRPr="004C1988" w:rsidRDefault="004C1988" w:rsidP="004C1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hAnsi="Times New Roman"/>
          <w:sz w:val="24"/>
          <w:szCs w:val="24"/>
        </w:rPr>
        <w:tab/>
      </w:r>
      <w:proofErr w:type="gramStart"/>
      <w:r w:rsidRPr="004C1988">
        <w:rPr>
          <w:rFonts w:ascii="Times New Roman" w:hAnsi="Times New Roman"/>
          <w:sz w:val="24"/>
          <w:szCs w:val="24"/>
        </w:rPr>
        <w:t xml:space="preserve">Для повышения уровня информированности населения района, действуют соглашения об информационном взаимодействии между администрацией Ханты-Мансийского района и Управлением </w:t>
      </w:r>
      <w:proofErr w:type="spellStart"/>
      <w:r w:rsidRPr="004C1988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4C1988">
        <w:rPr>
          <w:rFonts w:ascii="Times New Roman" w:hAnsi="Times New Roman"/>
          <w:sz w:val="24"/>
          <w:szCs w:val="24"/>
        </w:rPr>
        <w:t xml:space="preserve"> по Ханты-Мансийскому автономному округу – Югре, прокуратурой Ханты-Мансийского автономного округа – Югры, Управлением Федеральной службы судебных приставов по Ханты-Мансийскому автономному округу - Югре, Управлением Пенсионного фонда Российской Федерации в г. </w:t>
      </w:r>
      <w:r w:rsidRPr="004C1988">
        <w:rPr>
          <w:rFonts w:ascii="Times New Roman" w:hAnsi="Times New Roman"/>
          <w:sz w:val="24"/>
          <w:szCs w:val="24"/>
        </w:rPr>
        <w:lastRenderedPageBreak/>
        <w:t>Ханты-Мансийске ХМАО-Югры, Межрайонной инспекцией федеральной налоговой службы России № 1 по Ханты-Мансийскому автономному округу-Югре, Управлением Федеральной</w:t>
      </w:r>
      <w:proofErr w:type="gramEnd"/>
      <w:r w:rsidRPr="004C1988">
        <w:rPr>
          <w:rFonts w:ascii="Times New Roman" w:hAnsi="Times New Roman"/>
          <w:sz w:val="24"/>
          <w:szCs w:val="24"/>
        </w:rPr>
        <w:t xml:space="preserve"> антимонопольной службы по Ханты-Мансийскому автономному округу – Югре, Думой Ханты-Мансийского района, Контрольно-счетной палатой Ханты-Мансийского района, территориальной избирательной комиссией Ханты-Мансийского района, муниципальным казенным учреждением Ханты-Мансийского района «Управление гражданской защиты», дающие право размещать на официальном сайте администрации Ханты-Мансийского района  в сети Интернет информацию о своей деятельности.</w:t>
      </w:r>
    </w:p>
    <w:p w:rsidR="004C1988" w:rsidRDefault="004C1988" w:rsidP="004C19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hAnsi="Times New Roman"/>
          <w:sz w:val="24"/>
          <w:szCs w:val="24"/>
        </w:rPr>
        <w:t xml:space="preserve">В целях публичности, открытости деятельности администрации Ханты-Мансийского района, популяризации государственных и муниципальных услуг, освещении социально-значимых мероприятий, проводимых </w:t>
      </w:r>
      <w:proofErr w:type="gramStart"/>
      <w:r w:rsidRPr="004C1988">
        <w:rPr>
          <w:rFonts w:ascii="Times New Roman" w:hAnsi="Times New Roman"/>
          <w:sz w:val="24"/>
          <w:szCs w:val="24"/>
        </w:rPr>
        <w:t>в</w:t>
      </w:r>
      <w:proofErr w:type="gramEnd"/>
      <w:r w:rsidRPr="004C19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1988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4C1988">
        <w:rPr>
          <w:rFonts w:ascii="Times New Roman" w:hAnsi="Times New Roman"/>
          <w:sz w:val="24"/>
          <w:szCs w:val="24"/>
        </w:rPr>
        <w:t xml:space="preserve"> районе и Ханты-Мансийском автономном округе – Югре созданы страницы в социальных сетях «</w:t>
      </w:r>
      <w:proofErr w:type="spellStart"/>
      <w:r w:rsidRPr="004C1988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C1988">
        <w:rPr>
          <w:rFonts w:ascii="Times New Roman" w:hAnsi="Times New Roman"/>
          <w:sz w:val="24"/>
          <w:szCs w:val="24"/>
        </w:rPr>
        <w:t>» и «Одноклассники».</w:t>
      </w:r>
    </w:p>
    <w:p w:rsidR="004C1988" w:rsidRDefault="004C1988" w:rsidP="004C19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1988" w:rsidRDefault="00B0643D" w:rsidP="004C198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3.2</w:t>
      </w:r>
      <w:r w:rsidRPr="00B0643D">
        <w:rPr>
          <w:rFonts w:ascii="Times New Roman" w:eastAsiaTheme="minorHAnsi" w:hAnsi="Times New Roman"/>
          <w:b/>
          <w:i/>
          <w:sz w:val="24"/>
          <w:szCs w:val="24"/>
        </w:rPr>
        <w:t xml:space="preserve">. Повышение информационной открытости органов местного самоуправления городских округов и муниципальных районов автономного округа, включая информацию о качестве окружающей среды, публичная и </w:t>
      </w:r>
      <w:proofErr w:type="spellStart"/>
      <w:r w:rsidRPr="00B0643D">
        <w:rPr>
          <w:rFonts w:ascii="Times New Roman" w:eastAsiaTheme="minorHAnsi" w:hAnsi="Times New Roman"/>
          <w:b/>
          <w:i/>
          <w:sz w:val="24"/>
          <w:szCs w:val="24"/>
        </w:rPr>
        <w:t>медийная</w:t>
      </w:r>
      <w:proofErr w:type="spellEnd"/>
      <w:r w:rsidRPr="00B0643D">
        <w:rPr>
          <w:rFonts w:ascii="Times New Roman" w:eastAsiaTheme="minorHAnsi" w:hAnsi="Times New Roman"/>
          <w:b/>
          <w:i/>
          <w:sz w:val="24"/>
          <w:szCs w:val="24"/>
        </w:rPr>
        <w:t xml:space="preserve"> (публикации и выступления в СМИ) активность глав городских округов и муниципальных районов автономного округа, работа с населением.</w:t>
      </w:r>
    </w:p>
    <w:p w:rsidR="004C1988" w:rsidRPr="004C1988" w:rsidRDefault="004C1988" w:rsidP="004C1988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 xml:space="preserve">В рамках работы по освещению деятельности администрации Ханты-Мансийского района, повышению информационной открытости органов местного самоуправления муниципалитета: 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>В рамках работы по освещению деятельности администрации района, повышению информационной открытости органов местного самоуправления муниципалитета редакцией газеты «Наш район» за 2021 год опубликовано: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>материалов, освещающих деятельность главы района, администрации района – 101;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>публикаций о социально-экономическом развитии района, деятельности органов местного самоуправления района, мерах, предпринимаемых органами местного самоуправления для повышения качества жизни в муниципалитете, заметок, статей о различных мероприятиях, акциях, социально-значимых инициативах местного самоуправления, публикаций об актуальных для населения вопросах – 214;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 xml:space="preserve">статей, сообщений, информирующих население района о порядке предоставления муниципальных и государственных услуг, о новом в законодательстве, </w:t>
      </w:r>
      <w:proofErr w:type="gramStart"/>
      <w:r w:rsidRPr="004C1988">
        <w:rPr>
          <w:rFonts w:ascii="Times New Roman" w:hAnsi="Times New Roman"/>
          <w:sz w:val="24"/>
          <w:szCs w:val="24"/>
          <w:lang w:eastAsia="ru-RU"/>
        </w:rPr>
        <w:t>нормативной-правовой</w:t>
      </w:r>
      <w:proofErr w:type="gramEnd"/>
      <w:r w:rsidRPr="004C1988">
        <w:rPr>
          <w:rFonts w:ascii="Times New Roman" w:hAnsi="Times New Roman"/>
          <w:sz w:val="24"/>
          <w:szCs w:val="24"/>
          <w:lang w:eastAsia="ru-RU"/>
        </w:rPr>
        <w:t xml:space="preserve"> базе, пенсионном обеспечении, налогообложении, о предоставляемых льготах и формах социальной помощи, сообщений о различных формах консультирования населения, публикаций рубрики «Правовое просвещение» – 117.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>В рамках работы по освещению деятельности администрации района, повышению информационной открытости органов местного самоуправления муниципалитета редакцией газеты «Наш район» за 2021 год опубликовано: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>материалов, освещающих деятельность главы района, администрации района – 107;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>публикаций о социально-экономическом развитии района, деятельности органов местного самоуправления района, мерах, предпринимаемых органами местного самоуправления для повышения качества жизни в муниципалитете, заметок, статей о различных мероприятиях, акциях, социально-значимых инициативах местного самоуправления, публикаций об актуальных для населения вопросах – 203;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 xml:space="preserve">статей, сообщений, информирующих население района о порядке предоставления муниципальных и государственных услуг, о новом в законодательстве, </w:t>
      </w:r>
      <w:proofErr w:type="gramStart"/>
      <w:r w:rsidRPr="004C1988">
        <w:rPr>
          <w:rFonts w:ascii="Times New Roman" w:hAnsi="Times New Roman"/>
          <w:sz w:val="24"/>
          <w:szCs w:val="24"/>
          <w:lang w:eastAsia="ru-RU"/>
        </w:rPr>
        <w:t>нормативной-правовой</w:t>
      </w:r>
      <w:proofErr w:type="gramEnd"/>
      <w:r w:rsidRPr="004C1988">
        <w:rPr>
          <w:rFonts w:ascii="Times New Roman" w:hAnsi="Times New Roman"/>
          <w:sz w:val="24"/>
          <w:szCs w:val="24"/>
          <w:lang w:eastAsia="ru-RU"/>
        </w:rPr>
        <w:t xml:space="preserve"> базе, пенсионном обеспечении, налогообложении, о предоставляемых льготах и формах социальной помощи, сообщений о различных формах консультирования населения, публикаций рубрики «Правовое просвещение» – 124.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lastRenderedPageBreak/>
        <w:t>При содействии администрации района газетой «Наш район» было подготовлено 236 статей, заметок и новостных сообщений, всесторонне освещающих жизнь муниципалитета, а также деятельность органов местного самоуправления.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>Помимо газеты публикации размещаются в новостной колонке официального сайта администрации Ханты-Мансийского района и в сетевом издании «Наш район Ханты-Мансийский» (gazeta-hmrn.ru). За 2021 год сайт газеты посетили 173 223 пользователя сети Интернет.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 xml:space="preserve">Наиболее широкое освещение (1 476 публикаций) в газете «Наш район», сетевом издании «Наш район Ханты-Мансийский», на сайте администрации Ханты-Мансийского района, в аккаунтах социальных сетей администрации и газеты «Наш район» получила информационная кампания по обеспечению безопасности жизни и здоровья жителей района в условиях пандемии </w:t>
      </w:r>
      <w:proofErr w:type="spellStart"/>
      <w:r w:rsidRPr="004C1988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4C1988">
        <w:rPr>
          <w:rFonts w:ascii="Times New Roman" w:hAnsi="Times New Roman"/>
          <w:sz w:val="24"/>
          <w:szCs w:val="24"/>
          <w:lang w:eastAsia="ru-RU"/>
        </w:rPr>
        <w:t xml:space="preserve"> инфекции, вакцинации от COVID-19.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>За год было отработано 460 сообщений граждан, поступивших через систему «Инцидент-менеджмент».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988">
        <w:rPr>
          <w:rFonts w:ascii="Times New Roman" w:hAnsi="Times New Roman"/>
          <w:sz w:val="24"/>
          <w:szCs w:val="24"/>
          <w:lang w:eastAsia="ru-RU"/>
        </w:rPr>
        <w:t>Информация</w:t>
      </w:r>
      <w:r w:rsidRPr="004C1988">
        <w:rPr>
          <w:rFonts w:ascii="Times New Roman" w:hAnsi="Times New Roman"/>
          <w:sz w:val="24"/>
          <w:szCs w:val="24"/>
        </w:rPr>
        <w:t xml:space="preserve"> о деятельности главы, администрации района регулярно размещалась в официальных аккаунтах в социальных сетях:</w:t>
      </w:r>
      <w:proofErr w:type="gramEnd"/>
    </w:p>
    <w:p w:rsidR="004C1988" w:rsidRPr="004C1988" w:rsidRDefault="004C1988" w:rsidP="004C198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hAnsi="Times New Roman"/>
          <w:sz w:val="24"/>
          <w:szCs w:val="24"/>
        </w:rPr>
        <w:t>https://vk.com/hmrnadm;</w:t>
      </w:r>
    </w:p>
    <w:p w:rsidR="004C1988" w:rsidRPr="004C1988" w:rsidRDefault="004C1988" w:rsidP="004C198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hAnsi="Times New Roman"/>
          <w:sz w:val="24"/>
          <w:szCs w:val="24"/>
        </w:rPr>
        <w:t>https://ok.ru/adminhmrn;</w:t>
      </w:r>
    </w:p>
    <w:p w:rsidR="004C1988" w:rsidRPr="004C1988" w:rsidRDefault="004C1988" w:rsidP="004C19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1988">
        <w:rPr>
          <w:rFonts w:ascii="Times New Roman" w:hAnsi="Times New Roman"/>
          <w:sz w:val="24"/>
          <w:szCs w:val="24"/>
          <w:lang w:eastAsia="ru-RU"/>
        </w:rPr>
        <w:t>Также материалы о деятельности главы, администрации района размещались в группах социальных сетей газеты «Наш район».</w:t>
      </w:r>
    </w:p>
    <w:p w:rsidR="004C1988" w:rsidRPr="004C1988" w:rsidRDefault="004C1988" w:rsidP="004C198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hAnsi="Times New Roman"/>
          <w:sz w:val="24"/>
          <w:szCs w:val="24"/>
        </w:rPr>
        <w:t>https://vk.com/nashraion86;</w:t>
      </w:r>
    </w:p>
    <w:p w:rsidR="004C1988" w:rsidRDefault="00197D7A" w:rsidP="004C198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C1988" w:rsidRPr="003842D8">
          <w:rPr>
            <w:rStyle w:val="ae"/>
            <w:rFonts w:ascii="Times New Roman" w:hAnsi="Times New Roman"/>
            <w:sz w:val="24"/>
            <w:szCs w:val="24"/>
          </w:rPr>
          <w:t>https://ok.ru/group/54850420342898</w:t>
        </w:r>
      </w:hyperlink>
      <w:r w:rsidR="00BC7030">
        <w:rPr>
          <w:rFonts w:ascii="Times New Roman" w:hAnsi="Times New Roman"/>
          <w:sz w:val="24"/>
          <w:szCs w:val="24"/>
        </w:rPr>
        <w:t>.</w:t>
      </w:r>
    </w:p>
    <w:p w:rsidR="004C1988" w:rsidRDefault="004C1988" w:rsidP="004C198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C1988" w:rsidRDefault="00B0643D" w:rsidP="004C19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eastAsiaTheme="minorHAnsi" w:hAnsi="Times New Roman"/>
          <w:b/>
          <w:i/>
          <w:sz w:val="24"/>
          <w:szCs w:val="24"/>
        </w:rPr>
        <w:t xml:space="preserve">3.3. </w:t>
      </w:r>
      <w:proofErr w:type="gramStart"/>
      <w:r w:rsidRPr="004C1988">
        <w:rPr>
          <w:rFonts w:ascii="Times New Roman" w:eastAsiaTheme="minorHAnsi" w:hAnsi="Times New Roman"/>
          <w:b/>
          <w:i/>
          <w:sz w:val="24"/>
          <w:szCs w:val="24"/>
        </w:rPr>
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  <w:proofErr w:type="gramEnd"/>
    </w:p>
    <w:p w:rsidR="004C1988" w:rsidRPr="004C1988" w:rsidRDefault="004C1988" w:rsidP="004C19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Меры, принимаемые для повышения доступности и качества, предоставляемых населению муниципальных услуг:</w:t>
      </w:r>
    </w:p>
    <w:p w:rsidR="004C1988" w:rsidRPr="004C1988" w:rsidRDefault="00BC7030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="004C1988"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Предоставление государственных и муниципальных услуг посредством мобильного офиса МФЦ: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администрацией Ханты-Мансийского района совместно с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(МФЦ) в соответствии с заключенными соглашениями обеспечивается работа по предоставлению государственных и муниципальных услуг в населенных пунктах Ханты-Мансийского района;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государственные и муниципальные услуги, </w:t>
      </w:r>
      <w:proofErr w:type="gramStart"/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возможно</w:t>
      </w:r>
      <w:proofErr w:type="gramEnd"/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получить посредством мобильного офиса МФЦ, выезжающего в населенные пункты Ханты-Мансийского района;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мобильный офис МФЦ имеет площадку подъема инвалидных кресел, которая тестируется при подготовке автомобиля к выезду к месту оказания услуг;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2021 году посредством мобильного офиса МФЦ осуществлялось предоставление 183 видов услуг, из которых 150 государственных услуг, 19 муниципальных услуг, 6 услуг корпораций, 7 услуг фондов и 1 услуга Уполномоченного по защите прав предпринимателей в автономном округе;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выезд мобильного офиса МФЦ в населенные пункты Ханты-Мансийского района осуществлялся по утвержденному графику не реже 8 раз в месяц;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в 2021 году посредством мобильного офиса МФЦ жителям Ханты-Мансийского района предоставлено 970 услуг, включая как </w:t>
      </w:r>
      <w:proofErr w:type="gramStart"/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государственные</w:t>
      </w:r>
      <w:proofErr w:type="gramEnd"/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так и муниципальные.</w:t>
      </w:r>
    </w:p>
    <w:p w:rsidR="004C1988" w:rsidRPr="004C1988" w:rsidRDefault="00BC7030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r w:rsidR="004C1988"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Государственные и муниципальные услуги, возможно, также получить в уполномоченном МФЦ в городе Ханты-Мансийске, в ТОСП МФЦ, расположенных в поселках </w:t>
      </w:r>
      <w:proofErr w:type="spellStart"/>
      <w:r w:rsidR="004C1988"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Горноправдинск</w:t>
      </w:r>
      <w:proofErr w:type="spellEnd"/>
      <w:r w:rsidR="004C1988"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="004C1988"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Луговской</w:t>
      </w:r>
      <w:proofErr w:type="spellEnd"/>
      <w:r w:rsidR="004C1988"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gramStart"/>
      <w:r w:rsidR="004C1988"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Кедровый</w:t>
      </w:r>
      <w:proofErr w:type="gramEnd"/>
      <w:r w:rsidR="004C1988"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селе </w:t>
      </w:r>
      <w:proofErr w:type="spellStart"/>
      <w:r w:rsidR="004C1988"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Селиярово</w:t>
      </w:r>
      <w:proofErr w:type="spellEnd"/>
      <w:r w:rsidR="004C1988"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 2021 год в администрацию Ханты-Мансийского района поступило 3665 заявлений о предоставлении государственной (муниципальной) услуги, из них 2282 о предоставлении муниципальных услуг, 1383 о предоставлении государственных услуг. </w:t>
      </w:r>
    </w:p>
    <w:p w:rsidR="004C1988" w:rsidRPr="004C1988" w:rsidRDefault="00BC7030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3. </w:t>
      </w:r>
      <w:r w:rsidR="004C1988"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Предоставление государственных и муниципальных услуг в электронном виде: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 утвержденным планом мероприятий по популяризации предоставления государственных и муниципальных услуг в электронной форме в 2020 году: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данным Ростелекома по состоянию на 16.01.2018 доля зарегистрированных граждан Ханты-Мансийского района в единой системе идентификац</w:t>
      </w:r>
      <w:proofErr w:type="gramStart"/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ии и ау</w:t>
      </w:r>
      <w:proofErr w:type="gramEnd"/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тентификации составила 59%;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помимо социальной сети «</w:t>
      </w:r>
      <w:proofErr w:type="spellStart"/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ВКонтакте</w:t>
      </w:r>
      <w:proofErr w:type="spellEnd"/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» тематическая страница организована в популярных социальных сетях </w:t>
      </w:r>
      <w:proofErr w:type="spellStart"/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Твиттер</w:t>
      </w:r>
      <w:proofErr w:type="spellEnd"/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Одноклассники, на которых в течение 2021 года размещались материалы, посвященные предоставлению услуг посредством ЕПГУ;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жителям Ханты-Мансийского района обеспечен доступ к получению в электронном виде 36 услуг, оказываемых администрацией Ханты-Мансийского района (15 государственных услуг, 13 муниципальных услуг, 8 услуг муниципальных образовательных учреждений Ханты-Мансийского района).</w:t>
      </w:r>
    </w:p>
    <w:p w:rsidR="004C1988" w:rsidRPr="004C1988" w:rsidRDefault="00BC7030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4. </w:t>
      </w:r>
      <w:r w:rsidR="004C1988"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Внесение изменений в административные регламенты предоставления муниципальных услуг в части доступности инвалидов к помещениям, в которых предоставляются муниципальные услуги (далее – Требования): </w:t>
      </w:r>
    </w:p>
    <w:p w:rsidR="004C1988" w:rsidRPr="004C1988" w:rsidRDefault="004C1988" w:rsidP="004C198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предоставление муниципальных услуг осуществляется в помещениях не выше второго этажа здания. В целях обеспечения физической доступности для заявителей с ограничениями жизнедеятельности вход (выход) в здание и помещения, в которых предоставляются муниципальные услуги, оборудуется пандусами, расширенными проходами, специальными ограждениями и перилами, кнопкой вызова. При получении сигнала сотрудник службы охраны встречает и сопровождает заявителя до места получения услуги.</w:t>
      </w:r>
    </w:p>
    <w:p w:rsidR="00F43530" w:rsidRDefault="004C1988" w:rsidP="00F4353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98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Указанные выше Требования к помещениям предусмотрены во всех принятых 39 административных регламентах (100%).</w:t>
      </w:r>
    </w:p>
    <w:p w:rsidR="00750EE2" w:rsidRPr="00750EE2" w:rsidRDefault="00750EE2" w:rsidP="00750EE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50EE2">
        <w:rPr>
          <w:rFonts w:ascii="Times New Roman" w:eastAsia="Times New Roman" w:hAnsi="Times New Roman"/>
          <w:i/>
          <w:sz w:val="24"/>
          <w:szCs w:val="24"/>
          <w:lang w:eastAsia="ru-RU"/>
        </w:rPr>
        <w:t>В сфере физической культуры и спорта</w:t>
      </w:r>
    </w:p>
    <w:p w:rsidR="00750EE2" w:rsidRP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 xml:space="preserve">В МАУ «Спортивная школа Ханты-Мансийского района» (далее </w:t>
      </w:r>
      <w:proofErr w:type="gramStart"/>
      <w:r w:rsidRPr="00750EE2">
        <w:rPr>
          <w:rFonts w:ascii="Times New Roman" w:hAnsi="Times New Roman"/>
          <w:bCs/>
          <w:sz w:val="24"/>
          <w:szCs w:val="24"/>
        </w:rPr>
        <w:t>–у</w:t>
      </w:r>
      <w:proofErr w:type="gramEnd"/>
      <w:r w:rsidRPr="00750EE2">
        <w:rPr>
          <w:rFonts w:ascii="Times New Roman" w:hAnsi="Times New Roman"/>
          <w:bCs/>
          <w:sz w:val="24"/>
          <w:szCs w:val="24"/>
        </w:rPr>
        <w:t xml:space="preserve">чреждение) на базе структурного подразделения-отделения п. </w:t>
      </w:r>
      <w:proofErr w:type="spellStart"/>
      <w:r w:rsidRPr="00750EE2">
        <w:rPr>
          <w:rFonts w:ascii="Times New Roman" w:hAnsi="Times New Roman"/>
          <w:bCs/>
          <w:sz w:val="24"/>
          <w:szCs w:val="24"/>
        </w:rPr>
        <w:t>Горноправдинск</w:t>
      </w:r>
      <w:proofErr w:type="spellEnd"/>
      <w:r w:rsidRPr="00750EE2">
        <w:rPr>
          <w:rFonts w:ascii="Times New Roman" w:hAnsi="Times New Roman"/>
          <w:bCs/>
          <w:sz w:val="24"/>
          <w:szCs w:val="24"/>
        </w:rPr>
        <w:t xml:space="preserve"> продолжают функционировать 3 спортивно-оздоровительных группы по адаптивной физической культуре (далее – АФК), которые посещают 11 детей в возрасте от 6 до 19 лет с ограниченными возможностями здоровья (ОВЗ), в том числе дети инвалиды.</w:t>
      </w:r>
    </w:p>
    <w:p w:rsidR="00750EE2" w:rsidRP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 xml:space="preserve">Деятельность, с данной категорией детей, осуществляется по утвержденной, дополнительной общеразвивающей программе, направленной на коррекцию физического развития и получение начальных знаний о физической культуре и спорте. Спортивно-оздоровительные занятия с детьми проводит тренер-преподаватель, прошедший специализированные курсы повышения квалификации в области АФК. Занятия </w:t>
      </w:r>
      <w:r w:rsidRPr="00750EE2">
        <w:rPr>
          <w:rFonts w:ascii="Times New Roman" w:hAnsi="Times New Roman"/>
          <w:bCs/>
          <w:sz w:val="24"/>
          <w:szCs w:val="24"/>
        </w:rPr>
        <w:lastRenderedPageBreak/>
        <w:t xml:space="preserve">проводятся на базе ФСК п. </w:t>
      </w:r>
      <w:proofErr w:type="spellStart"/>
      <w:r w:rsidRPr="00750EE2">
        <w:rPr>
          <w:rFonts w:ascii="Times New Roman" w:hAnsi="Times New Roman"/>
          <w:bCs/>
          <w:sz w:val="24"/>
          <w:szCs w:val="24"/>
        </w:rPr>
        <w:t>Горноправдинск</w:t>
      </w:r>
      <w:proofErr w:type="spellEnd"/>
      <w:r w:rsidRPr="00750EE2">
        <w:rPr>
          <w:rFonts w:ascii="Times New Roman" w:hAnsi="Times New Roman"/>
          <w:bCs/>
          <w:sz w:val="24"/>
          <w:szCs w:val="24"/>
        </w:rPr>
        <w:t xml:space="preserve"> в кабинете, где имеется все необходимое оборудование для проведения занятий.</w:t>
      </w:r>
    </w:p>
    <w:p w:rsidR="00750EE2" w:rsidRP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>В течение 2021 года воспитанники учреждения принимали активное участие в спортивно-массовых мероприятиях района и округа, где занимали призовые места:</w:t>
      </w:r>
    </w:p>
    <w:p w:rsidR="00750EE2" w:rsidRPr="00750EE2" w:rsidRDefault="00750EE2" w:rsidP="00750E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0EE2">
        <w:rPr>
          <w:rFonts w:ascii="Times New Roman" w:hAnsi="Times New Roman"/>
          <w:sz w:val="24"/>
          <w:szCs w:val="24"/>
        </w:rPr>
        <w:t xml:space="preserve">Чемпионат и Первенство </w:t>
      </w:r>
      <w:r w:rsidRPr="00750EE2">
        <w:rPr>
          <w:rFonts w:ascii="Times New Roman" w:hAnsi="Times New Roman"/>
          <w:bCs/>
          <w:sz w:val="24"/>
          <w:szCs w:val="24"/>
        </w:rPr>
        <w:t>по пауэрлифтингу</w:t>
      </w:r>
      <w:r w:rsidRPr="00750EE2">
        <w:rPr>
          <w:rFonts w:ascii="Times New Roman" w:hAnsi="Times New Roman"/>
          <w:sz w:val="24"/>
          <w:szCs w:val="24"/>
        </w:rPr>
        <w:t xml:space="preserve"> в зачет </w:t>
      </w:r>
      <w:proofErr w:type="spellStart"/>
      <w:r w:rsidRPr="00750EE2">
        <w:rPr>
          <w:rFonts w:ascii="Times New Roman" w:hAnsi="Times New Roman"/>
          <w:sz w:val="24"/>
          <w:szCs w:val="24"/>
        </w:rPr>
        <w:t>Параспартакиады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</w:t>
      </w:r>
      <w:r w:rsidRPr="00750EE2">
        <w:rPr>
          <w:rFonts w:ascii="Times New Roman" w:hAnsi="Times New Roman"/>
          <w:sz w:val="24"/>
          <w:szCs w:val="24"/>
        </w:rPr>
        <w:br/>
        <w:t xml:space="preserve">Ханты-Мансийского автономного округа – Югры, 1 место у </w:t>
      </w:r>
      <w:proofErr w:type="spellStart"/>
      <w:r w:rsidRPr="00750EE2">
        <w:rPr>
          <w:rFonts w:ascii="Times New Roman" w:hAnsi="Times New Roman"/>
          <w:sz w:val="24"/>
          <w:szCs w:val="24"/>
        </w:rPr>
        <w:t>Сивкова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А.В.;</w:t>
      </w:r>
    </w:p>
    <w:p w:rsidR="00750EE2" w:rsidRPr="00750EE2" w:rsidRDefault="00750EE2" w:rsidP="00750E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0EE2">
        <w:rPr>
          <w:rFonts w:ascii="Times New Roman" w:hAnsi="Times New Roman"/>
          <w:sz w:val="24"/>
          <w:szCs w:val="24"/>
        </w:rPr>
        <w:t xml:space="preserve">Чемпионат и Первенство </w:t>
      </w:r>
      <w:r w:rsidRPr="00750EE2">
        <w:rPr>
          <w:rFonts w:ascii="Times New Roman" w:hAnsi="Times New Roman"/>
          <w:bCs/>
          <w:sz w:val="24"/>
          <w:szCs w:val="24"/>
        </w:rPr>
        <w:t xml:space="preserve">по </w:t>
      </w:r>
      <w:proofErr w:type="spellStart"/>
      <w:r w:rsidRPr="00750EE2">
        <w:rPr>
          <w:rFonts w:ascii="Times New Roman" w:hAnsi="Times New Roman"/>
          <w:bCs/>
          <w:sz w:val="24"/>
          <w:szCs w:val="24"/>
        </w:rPr>
        <w:t>бочча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в зачет </w:t>
      </w:r>
      <w:proofErr w:type="spellStart"/>
      <w:r w:rsidRPr="00750EE2">
        <w:rPr>
          <w:rFonts w:ascii="Times New Roman" w:hAnsi="Times New Roman"/>
          <w:sz w:val="24"/>
          <w:szCs w:val="24"/>
        </w:rPr>
        <w:t>Параспартакиады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Югры, 2 место (парный зачет) у Быкова К.С., </w:t>
      </w:r>
      <w:r w:rsidRPr="00750EE2">
        <w:rPr>
          <w:rFonts w:ascii="Times New Roman" w:hAnsi="Times New Roman"/>
          <w:sz w:val="24"/>
          <w:szCs w:val="24"/>
        </w:rPr>
        <w:br/>
        <w:t>3 место (личный зачет) у Смирнова И.И.;</w:t>
      </w:r>
    </w:p>
    <w:p w:rsidR="00750EE2" w:rsidRPr="00750EE2" w:rsidRDefault="00750EE2" w:rsidP="00750E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0EE2">
        <w:rPr>
          <w:rFonts w:ascii="Times New Roman" w:hAnsi="Times New Roman"/>
          <w:sz w:val="24"/>
          <w:szCs w:val="24"/>
        </w:rPr>
        <w:t xml:space="preserve">Открытое первенство с. п. </w:t>
      </w:r>
      <w:proofErr w:type="spellStart"/>
      <w:r w:rsidRPr="00750EE2">
        <w:rPr>
          <w:rFonts w:ascii="Times New Roman" w:hAnsi="Times New Roman"/>
          <w:sz w:val="24"/>
          <w:szCs w:val="24"/>
        </w:rPr>
        <w:t>Горноправдинск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</w:t>
      </w:r>
      <w:r w:rsidRPr="00750EE2">
        <w:rPr>
          <w:rFonts w:ascii="Times New Roman" w:hAnsi="Times New Roman"/>
          <w:bCs/>
          <w:sz w:val="24"/>
          <w:szCs w:val="24"/>
        </w:rPr>
        <w:t>по пауэрлифтингу</w:t>
      </w:r>
      <w:r w:rsidRPr="00750EE2">
        <w:rPr>
          <w:rFonts w:ascii="Times New Roman" w:hAnsi="Times New Roman"/>
          <w:sz w:val="24"/>
          <w:szCs w:val="24"/>
        </w:rPr>
        <w:t xml:space="preserve"> (жиму </w:t>
      </w:r>
      <w:proofErr w:type="gramStart"/>
      <w:r w:rsidRPr="00750EE2">
        <w:rPr>
          <w:rFonts w:ascii="Times New Roman" w:hAnsi="Times New Roman"/>
          <w:sz w:val="24"/>
          <w:szCs w:val="24"/>
        </w:rPr>
        <w:t>штанги</w:t>
      </w:r>
      <w:proofErr w:type="gramEnd"/>
      <w:r w:rsidRPr="00750EE2">
        <w:rPr>
          <w:rFonts w:ascii="Times New Roman" w:hAnsi="Times New Roman"/>
          <w:sz w:val="24"/>
          <w:szCs w:val="24"/>
        </w:rPr>
        <w:t xml:space="preserve"> лежа) среди юношей и девушек до 18 лет, мужчин, женщин и ветеранов, 1 место у </w:t>
      </w:r>
      <w:proofErr w:type="spellStart"/>
      <w:r w:rsidRPr="00750EE2">
        <w:rPr>
          <w:rFonts w:ascii="Times New Roman" w:hAnsi="Times New Roman"/>
          <w:sz w:val="24"/>
          <w:szCs w:val="24"/>
        </w:rPr>
        <w:t>Сивкова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А.В.; </w:t>
      </w:r>
    </w:p>
    <w:p w:rsidR="00750EE2" w:rsidRPr="00750EE2" w:rsidRDefault="00750EE2" w:rsidP="00750E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0EE2">
        <w:rPr>
          <w:rFonts w:ascii="Times New Roman" w:hAnsi="Times New Roman"/>
          <w:sz w:val="24"/>
          <w:szCs w:val="24"/>
        </w:rPr>
        <w:t xml:space="preserve">Чемпионат </w:t>
      </w:r>
      <w:r w:rsidRPr="00750EE2">
        <w:rPr>
          <w:rFonts w:ascii="Times New Roman" w:hAnsi="Times New Roman"/>
          <w:bCs/>
          <w:sz w:val="24"/>
          <w:szCs w:val="24"/>
        </w:rPr>
        <w:t xml:space="preserve">по </w:t>
      </w:r>
      <w:proofErr w:type="spellStart"/>
      <w:r w:rsidRPr="00750EE2">
        <w:rPr>
          <w:rFonts w:ascii="Times New Roman" w:hAnsi="Times New Roman"/>
          <w:bCs/>
          <w:sz w:val="24"/>
          <w:szCs w:val="24"/>
        </w:rPr>
        <w:t>парабадминтону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в зачет </w:t>
      </w:r>
      <w:proofErr w:type="spellStart"/>
      <w:r w:rsidRPr="00750EE2">
        <w:rPr>
          <w:rFonts w:ascii="Times New Roman" w:hAnsi="Times New Roman"/>
          <w:sz w:val="24"/>
          <w:szCs w:val="24"/>
        </w:rPr>
        <w:t>Параспартакиады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Югры, 1 место (класс </w:t>
      </w:r>
      <w:r w:rsidRPr="00750EE2">
        <w:rPr>
          <w:rFonts w:ascii="Times New Roman" w:hAnsi="Times New Roman"/>
          <w:sz w:val="24"/>
          <w:szCs w:val="24"/>
          <w:lang w:val="en-US"/>
        </w:rPr>
        <w:t>WH</w:t>
      </w:r>
      <w:r w:rsidRPr="00750EE2">
        <w:rPr>
          <w:rFonts w:ascii="Times New Roman" w:hAnsi="Times New Roman"/>
          <w:sz w:val="24"/>
          <w:szCs w:val="24"/>
        </w:rPr>
        <w:t xml:space="preserve">-2) у </w:t>
      </w:r>
      <w:proofErr w:type="spellStart"/>
      <w:r w:rsidRPr="00750EE2">
        <w:rPr>
          <w:rFonts w:ascii="Times New Roman" w:hAnsi="Times New Roman"/>
          <w:sz w:val="24"/>
          <w:szCs w:val="24"/>
        </w:rPr>
        <w:t>Сивкова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А.В., 2 место (класс </w:t>
      </w:r>
      <w:r w:rsidRPr="00750EE2">
        <w:rPr>
          <w:rFonts w:ascii="Times New Roman" w:hAnsi="Times New Roman"/>
          <w:sz w:val="24"/>
          <w:szCs w:val="24"/>
          <w:lang w:val="en-US"/>
        </w:rPr>
        <w:t>WH</w:t>
      </w:r>
      <w:r w:rsidRPr="00750EE2">
        <w:rPr>
          <w:rFonts w:ascii="Times New Roman" w:hAnsi="Times New Roman"/>
          <w:sz w:val="24"/>
          <w:szCs w:val="24"/>
        </w:rPr>
        <w:t>-1) у Быкова К.С.;</w:t>
      </w:r>
    </w:p>
    <w:p w:rsidR="00750EE2" w:rsidRPr="00750EE2" w:rsidRDefault="00750EE2" w:rsidP="00750E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0EE2">
        <w:rPr>
          <w:rFonts w:ascii="Times New Roman" w:hAnsi="Times New Roman"/>
          <w:sz w:val="24"/>
          <w:szCs w:val="24"/>
        </w:rPr>
        <w:t xml:space="preserve">Первенство </w:t>
      </w:r>
      <w:r w:rsidRPr="00750EE2">
        <w:rPr>
          <w:rFonts w:ascii="Times New Roman" w:hAnsi="Times New Roman"/>
          <w:bCs/>
          <w:sz w:val="24"/>
          <w:szCs w:val="24"/>
        </w:rPr>
        <w:t>по легкой атлетике</w:t>
      </w:r>
      <w:r w:rsidRPr="00750EE2">
        <w:rPr>
          <w:rFonts w:ascii="Times New Roman" w:hAnsi="Times New Roman"/>
          <w:sz w:val="24"/>
          <w:szCs w:val="24"/>
        </w:rPr>
        <w:t xml:space="preserve"> в зачет </w:t>
      </w:r>
      <w:proofErr w:type="spellStart"/>
      <w:r w:rsidRPr="00750EE2">
        <w:rPr>
          <w:rFonts w:ascii="Times New Roman" w:hAnsi="Times New Roman"/>
          <w:sz w:val="24"/>
          <w:szCs w:val="24"/>
        </w:rPr>
        <w:t>Параспартакиады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Югры, 2 место у </w:t>
      </w:r>
      <w:proofErr w:type="spellStart"/>
      <w:r w:rsidRPr="00750EE2">
        <w:rPr>
          <w:rFonts w:ascii="Times New Roman" w:hAnsi="Times New Roman"/>
          <w:sz w:val="24"/>
          <w:szCs w:val="24"/>
        </w:rPr>
        <w:t>Сивкова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А.В., 3 место у Быкова К.С.;</w:t>
      </w:r>
    </w:p>
    <w:p w:rsidR="00750EE2" w:rsidRPr="00750EE2" w:rsidRDefault="00750EE2" w:rsidP="00750E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0EE2">
        <w:rPr>
          <w:rFonts w:ascii="Times New Roman" w:hAnsi="Times New Roman"/>
          <w:sz w:val="24"/>
          <w:szCs w:val="24"/>
          <w:lang w:val="en-US"/>
        </w:rPr>
        <w:t>XXIII</w:t>
      </w:r>
      <w:r w:rsidRPr="00750EE2">
        <w:rPr>
          <w:rFonts w:ascii="Times New Roman" w:hAnsi="Times New Roman"/>
          <w:sz w:val="24"/>
          <w:szCs w:val="24"/>
        </w:rPr>
        <w:t xml:space="preserve"> открытая Спартакиада Ханты-Мансийского автономного округа – Югры среди людей с инвалидностью, 4 место у </w:t>
      </w:r>
      <w:proofErr w:type="spellStart"/>
      <w:r w:rsidRPr="00750EE2">
        <w:rPr>
          <w:rFonts w:ascii="Times New Roman" w:hAnsi="Times New Roman"/>
          <w:sz w:val="24"/>
          <w:szCs w:val="24"/>
        </w:rPr>
        <w:t>Сивкова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А.В. (класс </w:t>
      </w:r>
      <w:r w:rsidRPr="00750EE2">
        <w:rPr>
          <w:rFonts w:ascii="Times New Roman" w:hAnsi="Times New Roman"/>
          <w:sz w:val="24"/>
          <w:szCs w:val="24"/>
          <w:lang w:val="en-US"/>
        </w:rPr>
        <w:t>F</w:t>
      </w:r>
      <w:r w:rsidRPr="00750EE2">
        <w:rPr>
          <w:rFonts w:ascii="Times New Roman" w:hAnsi="Times New Roman"/>
          <w:sz w:val="24"/>
          <w:szCs w:val="24"/>
        </w:rPr>
        <w:t xml:space="preserve">-34) метание копья; </w:t>
      </w:r>
    </w:p>
    <w:p w:rsidR="00750EE2" w:rsidRPr="00750EE2" w:rsidRDefault="00750EE2" w:rsidP="00750E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0EE2">
        <w:rPr>
          <w:rFonts w:ascii="Times New Roman" w:hAnsi="Times New Roman"/>
          <w:sz w:val="24"/>
          <w:szCs w:val="24"/>
        </w:rPr>
        <w:t xml:space="preserve">Первенство </w:t>
      </w:r>
      <w:r w:rsidRPr="00750EE2">
        <w:rPr>
          <w:rFonts w:ascii="Times New Roman" w:hAnsi="Times New Roman"/>
          <w:bCs/>
          <w:sz w:val="24"/>
          <w:szCs w:val="24"/>
        </w:rPr>
        <w:t>по пауэрлифтингу</w:t>
      </w:r>
      <w:r w:rsidRPr="00750E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0EE2">
        <w:rPr>
          <w:rFonts w:ascii="Times New Roman" w:hAnsi="Times New Roman"/>
          <w:sz w:val="24"/>
          <w:szCs w:val="24"/>
        </w:rPr>
        <w:t xml:space="preserve">(жим </w:t>
      </w:r>
      <w:proofErr w:type="gramStart"/>
      <w:r w:rsidRPr="00750EE2">
        <w:rPr>
          <w:rFonts w:ascii="Times New Roman" w:hAnsi="Times New Roman"/>
          <w:sz w:val="24"/>
          <w:szCs w:val="24"/>
        </w:rPr>
        <w:t>штанги</w:t>
      </w:r>
      <w:proofErr w:type="gramEnd"/>
      <w:r w:rsidRPr="00750EE2">
        <w:rPr>
          <w:rFonts w:ascii="Times New Roman" w:hAnsi="Times New Roman"/>
          <w:sz w:val="24"/>
          <w:szCs w:val="24"/>
        </w:rPr>
        <w:t xml:space="preserve"> лежа), посвященное Международному Дню толерантности, среди юношей и девушек до 18 лет, мужчин, женщин и ветеранов, 1 место у </w:t>
      </w:r>
      <w:proofErr w:type="spellStart"/>
      <w:r w:rsidRPr="00750EE2">
        <w:rPr>
          <w:rFonts w:ascii="Times New Roman" w:hAnsi="Times New Roman"/>
          <w:sz w:val="24"/>
          <w:szCs w:val="24"/>
        </w:rPr>
        <w:t>Сивкова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А.В. (40, в/к до 52 кг).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i/>
          <w:sz w:val="24"/>
          <w:szCs w:val="24"/>
        </w:rPr>
        <w:t>В сфере культуры.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 xml:space="preserve">Приоритетным направлением работы муниципальных учреждений клубного типа является организация досуговой занятости населения, в том числе граждан с ограниченными возможностями здоровья. В 2021 году в учреждениях культуры </w:t>
      </w:r>
      <w:r w:rsidRPr="00750EE2">
        <w:rPr>
          <w:rFonts w:ascii="Times New Roman" w:hAnsi="Times New Roman"/>
          <w:bCs/>
          <w:sz w:val="24"/>
          <w:szCs w:val="24"/>
        </w:rPr>
        <w:br/>
        <w:t>Ханты-Мансийского района проведено 948 мероприятий с участием инвалидов и лиц с ОВЗ.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 xml:space="preserve">В апреле 2021 года в п. </w:t>
      </w:r>
      <w:proofErr w:type="spellStart"/>
      <w:r w:rsidRPr="00750EE2">
        <w:rPr>
          <w:rFonts w:ascii="Times New Roman" w:hAnsi="Times New Roman"/>
          <w:bCs/>
          <w:sz w:val="24"/>
          <w:szCs w:val="24"/>
        </w:rPr>
        <w:t>Горноправдинске</w:t>
      </w:r>
      <w:proofErr w:type="spellEnd"/>
      <w:r w:rsidRPr="00750EE2">
        <w:rPr>
          <w:rFonts w:ascii="Times New Roman" w:hAnsi="Times New Roman"/>
          <w:bCs/>
          <w:sz w:val="24"/>
          <w:szCs w:val="24"/>
        </w:rPr>
        <w:t xml:space="preserve"> при активном участии вокальной группы для людей с ограниченными возможностями здоровья «</w:t>
      </w:r>
      <w:proofErr w:type="spellStart"/>
      <w:r w:rsidRPr="00750EE2">
        <w:rPr>
          <w:rFonts w:ascii="Times New Roman" w:hAnsi="Times New Roman"/>
          <w:bCs/>
          <w:sz w:val="24"/>
          <w:szCs w:val="24"/>
        </w:rPr>
        <w:t>Добродея</w:t>
      </w:r>
      <w:proofErr w:type="spellEnd"/>
      <w:r w:rsidRPr="00750EE2">
        <w:rPr>
          <w:rFonts w:ascii="Times New Roman" w:hAnsi="Times New Roman"/>
          <w:bCs/>
          <w:sz w:val="24"/>
          <w:szCs w:val="24"/>
        </w:rPr>
        <w:t>» состоялось праздничное мероприятие «Проводы зимы» собравшее более 170 участников.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>На базе культурно-досуговых учреждений продолжили работу 18 инклюзивных клубных формирований, включающих в состав участников лица с ОВЗ, количество участников 150 человека.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sz w:val="24"/>
          <w:szCs w:val="24"/>
        </w:rPr>
        <w:t xml:space="preserve">Организована работа по адаптации кинотеатров, независимо от их </w:t>
      </w:r>
      <w:r w:rsidRPr="00750EE2">
        <w:rPr>
          <w:rFonts w:ascii="Times New Roman" w:hAnsi="Times New Roman"/>
          <w:sz w:val="24"/>
          <w:szCs w:val="24"/>
        </w:rPr>
        <w:br/>
        <w:t xml:space="preserve">организационно-правовых форм, в соответствии с требованиями доступности для людей с инвалидностью, включая доступность контента для инвалидов с нарушением зрения, слуха. 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sz w:val="24"/>
          <w:szCs w:val="24"/>
        </w:rPr>
        <w:t xml:space="preserve">Сельскими домами культуры Ханты-Мансийского района в 13 населенных пунктах  организованы 14 пунктов </w:t>
      </w:r>
      <w:proofErr w:type="spellStart"/>
      <w:r w:rsidRPr="00750EE2">
        <w:rPr>
          <w:rFonts w:ascii="Times New Roman" w:hAnsi="Times New Roman"/>
          <w:sz w:val="24"/>
          <w:szCs w:val="24"/>
        </w:rPr>
        <w:t>видеопоказа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фильмов, </w:t>
      </w:r>
      <w:proofErr w:type="spellStart"/>
      <w:r w:rsidRPr="00750EE2">
        <w:rPr>
          <w:rFonts w:ascii="Times New Roman" w:hAnsi="Times New Roman"/>
          <w:sz w:val="24"/>
          <w:szCs w:val="24"/>
        </w:rPr>
        <w:t>предоставлямых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автономным учреждением Ханты-Мансийского автономного округа – Югры «Югорский кинопрокат», в том числе для инвалидов по зрению и слуху.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sz w:val="24"/>
          <w:szCs w:val="24"/>
        </w:rPr>
        <w:t xml:space="preserve">Пункты </w:t>
      </w:r>
      <w:proofErr w:type="spellStart"/>
      <w:r w:rsidRPr="00750EE2">
        <w:rPr>
          <w:rFonts w:ascii="Times New Roman" w:hAnsi="Times New Roman"/>
          <w:sz w:val="24"/>
          <w:szCs w:val="24"/>
        </w:rPr>
        <w:t>видеопоказа</w:t>
      </w:r>
      <w:proofErr w:type="spellEnd"/>
      <w:r w:rsidRPr="00750EE2">
        <w:rPr>
          <w:rFonts w:ascii="Times New Roman" w:hAnsi="Times New Roman"/>
          <w:sz w:val="24"/>
          <w:szCs w:val="24"/>
        </w:rPr>
        <w:t xml:space="preserve"> оборудованы в помещениях с необходимым уровнем доступности для всех категорий населения, возможностью беспрепятственного пользования предоставляемыми услугами. 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sz w:val="24"/>
          <w:szCs w:val="24"/>
        </w:rPr>
        <w:lastRenderedPageBreak/>
        <w:t xml:space="preserve">Техническая демонстрация фильмов (показ фильмов) осуществляется непосредственно с </w:t>
      </w:r>
      <w:proofErr w:type="spellStart"/>
      <w:r w:rsidRPr="00750EE2">
        <w:rPr>
          <w:rFonts w:ascii="Times New Roman" w:hAnsi="Times New Roman"/>
          <w:sz w:val="24"/>
          <w:szCs w:val="24"/>
        </w:rPr>
        <w:t>YouTube</w:t>
      </w:r>
      <w:proofErr w:type="spellEnd"/>
      <w:r w:rsidRPr="00750EE2">
        <w:rPr>
          <w:rFonts w:ascii="Times New Roman" w:hAnsi="Times New Roman"/>
          <w:sz w:val="24"/>
          <w:szCs w:val="24"/>
        </w:rPr>
        <w:t>-канала Киноконцерна «Мосфильм», на бесплатной основе.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 xml:space="preserve">Работа с данной категорией граждан систематически ведется общедоступными библиотеками района. Доступ граждан к информации обеспечивается общедоступными библиотеками района, оснащёнными специализированной литературой. Специализированный фонд библиотек МКУ Ханты-Мансийского района «Централизованная библиотечная система» за 2021 пополнился 27 экз. книг с крупным шрифтом. 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>Фонд литературы для инвалидов по зрению библиотек Ханты-Мансийского района составляет 153 документа, из них 54 изданий на шрифте Брайля.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>В 2021 году было проведено обследование 19 структурных объектов МКУ ХМР «ЦБС», и утверждены Паспорта доступности объектов социальной инфраструктуры. Состояние доступности 19 объектов МКУ ХМР «ЦБС» оценено как доступно условно.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 xml:space="preserve">В 2021 году количество </w:t>
      </w:r>
      <w:proofErr w:type="gramStart"/>
      <w:r w:rsidRPr="00750EE2">
        <w:rPr>
          <w:rFonts w:ascii="Times New Roman" w:hAnsi="Times New Roman"/>
          <w:bCs/>
          <w:sz w:val="24"/>
          <w:szCs w:val="24"/>
        </w:rPr>
        <w:t>читателей, обслужившихся на дому составило</w:t>
      </w:r>
      <w:proofErr w:type="gramEnd"/>
      <w:r w:rsidRPr="00750EE2">
        <w:rPr>
          <w:rFonts w:ascii="Times New Roman" w:hAnsi="Times New Roman"/>
          <w:bCs/>
          <w:sz w:val="24"/>
          <w:szCs w:val="24"/>
        </w:rPr>
        <w:t xml:space="preserve"> 250 пользователей, из них 10 детей, количество посещений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Pr="00750EE2">
        <w:rPr>
          <w:rFonts w:ascii="Times New Roman" w:hAnsi="Times New Roman"/>
          <w:bCs/>
          <w:sz w:val="24"/>
          <w:szCs w:val="24"/>
        </w:rPr>
        <w:t>788 чел.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 xml:space="preserve">Формами работы с читателями-инвалидами традиционно являются: индивидуальное обслуживание на дому, информирование по телефону о предстоящих мероприятиях, о новых поступлениях литературы. Для обслуживания на дому инвалидов, которые не могут самостоятельно посещать библиотеку, используется такая форма работы как </w:t>
      </w:r>
      <w:proofErr w:type="spellStart"/>
      <w:r w:rsidRPr="00750EE2">
        <w:rPr>
          <w:rFonts w:ascii="Times New Roman" w:hAnsi="Times New Roman"/>
          <w:bCs/>
          <w:sz w:val="24"/>
          <w:szCs w:val="24"/>
        </w:rPr>
        <w:t>книгоношество</w:t>
      </w:r>
      <w:proofErr w:type="spellEnd"/>
      <w:r w:rsidRPr="00750EE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50EE2">
        <w:rPr>
          <w:rFonts w:ascii="Times New Roman" w:hAnsi="Times New Roman"/>
          <w:bCs/>
          <w:sz w:val="24"/>
          <w:szCs w:val="24"/>
        </w:rPr>
        <w:t>Книгоношество</w:t>
      </w:r>
      <w:proofErr w:type="spellEnd"/>
      <w:r w:rsidRPr="00750EE2">
        <w:rPr>
          <w:rFonts w:ascii="Times New Roman" w:hAnsi="Times New Roman"/>
          <w:bCs/>
          <w:sz w:val="24"/>
          <w:szCs w:val="24"/>
        </w:rPr>
        <w:t xml:space="preserve"> осуществляется в библиотеках п. </w:t>
      </w:r>
      <w:proofErr w:type="gramStart"/>
      <w:r w:rsidRPr="00750EE2">
        <w:rPr>
          <w:rFonts w:ascii="Times New Roman" w:hAnsi="Times New Roman"/>
          <w:bCs/>
          <w:sz w:val="24"/>
          <w:szCs w:val="24"/>
        </w:rPr>
        <w:t>Кедровый</w:t>
      </w:r>
      <w:proofErr w:type="gramEnd"/>
      <w:r w:rsidRPr="00750EE2">
        <w:rPr>
          <w:rFonts w:ascii="Times New Roman" w:hAnsi="Times New Roman"/>
          <w:bCs/>
          <w:sz w:val="24"/>
          <w:szCs w:val="24"/>
        </w:rPr>
        <w:t xml:space="preserve">, п. Кирпичный, д. </w:t>
      </w:r>
      <w:proofErr w:type="spellStart"/>
      <w:r w:rsidRPr="00750EE2">
        <w:rPr>
          <w:rFonts w:ascii="Times New Roman" w:hAnsi="Times New Roman"/>
          <w:bCs/>
          <w:sz w:val="24"/>
          <w:szCs w:val="24"/>
        </w:rPr>
        <w:t>Шапша</w:t>
      </w:r>
      <w:proofErr w:type="spellEnd"/>
      <w:r w:rsidRPr="00750EE2">
        <w:rPr>
          <w:rFonts w:ascii="Times New Roman" w:hAnsi="Times New Roman"/>
          <w:bCs/>
          <w:sz w:val="24"/>
          <w:szCs w:val="24"/>
        </w:rPr>
        <w:t xml:space="preserve">, п. </w:t>
      </w:r>
      <w:proofErr w:type="spellStart"/>
      <w:r w:rsidRPr="00750EE2">
        <w:rPr>
          <w:rFonts w:ascii="Times New Roman" w:hAnsi="Times New Roman"/>
          <w:bCs/>
          <w:sz w:val="24"/>
          <w:szCs w:val="24"/>
        </w:rPr>
        <w:t>Горноправдинск</w:t>
      </w:r>
      <w:proofErr w:type="spellEnd"/>
      <w:r w:rsidRPr="00750EE2">
        <w:rPr>
          <w:rFonts w:ascii="Times New Roman" w:hAnsi="Times New Roman"/>
          <w:bCs/>
          <w:sz w:val="24"/>
          <w:szCs w:val="24"/>
        </w:rPr>
        <w:t xml:space="preserve"> и по заявкам. 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 xml:space="preserve">Пять сотрудников приняли участие в научно-образовательном семинаре «Вопросы организации библиотечного обслуживания и предоставления услуг инвалидам и лицам ОВЗ в Российской государственной библиотеке. </w:t>
      </w:r>
    </w:p>
    <w:p w:rsidR="00750EE2" w:rsidRDefault="00750EE2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50EE2">
        <w:rPr>
          <w:rFonts w:ascii="Times New Roman" w:hAnsi="Times New Roman"/>
          <w:bCs/>
          <w:sz w:val="24"/>
          <w:szCs w:val="24"/>
        </w:rPr>
        <w:t>В 2021 году библиотекари МКУ ХМР «ЦБС» приняли участие в онлайн инклюзивном фестивале «Доброе чтение». Всего, за отчетный период, библиотеками проведено 634 мероприятий доступных для инвалидов.</w:t>
      </w:r>
    </w:p>
    <w:p w:rsidR="00F43530" w:rsidRPr="00750EE2" w:rsidRDefault="00BC7030" w:rsidP="00750EE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173FD">
        <w:rPr>
          <w:rFonts w:ascii="Times New Roman" w:eastAsia="Times New Roman" w:hAnsi="Times New Roman"/>
          <w:i/>
          <w:sz w:val="24"/>
          <w:szCs w:val="24"/>
          <w:lang w:eastAsia="ru-RU"/>
        </w:rPr>
        <w:t>В сфере образования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hAnsi="Times New Roman"/>
          <w:sz w:val="24"/>
          <w:szCs w:val="24"/>
        </w:rPr>
        <w:t xml:space="preserve">Создание условий для реализации прав детей с ограниченными возможностями здоровья является одной из приоритетных задач развития образования </w:t>
      </w:r>
      <w:r w:rsidRPr="00967062">
        <w:rPr>
          <w:rFonts w:ascii="Times New Roman" w:hAnsi="Times New Roman"/>
          <w:sz w:val="24"/>
          <w:szCs w:val="24"/>
        </w:rPr>
        <w:br/>
        <w:t>Ханты-Мансийского района.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hAnsi="Times New Roman"/>
          <w:sz w:val="24"/>
          <w:szCs w:val="24"/>
        </w:rPr>
        <w:t xml:space="preserve">Образование детей с ограниченными возможностями здоровья и детей-инвалидов </w:t>
      </w:r>
      <w:proofErr w:type="gramStart"/>
      <w:r w:rsidRPr="00967062">
        <w:rPr>
          <w:rFonts w:ascii="Times New Roman" w:hAnsi="Times New Roman"/>
          <w:sz w:val="24"/>
          <w:szCs w:val="24"/>
        </w:rPr>
        <w:t>в</w:t>
      </w:r>
      <w:proofErr w:type="gramEnd"/>
      <w:r w:rsidRPr="009670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7062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967062">
        <w:rPr>
          <w:rFonts w:ascii="Times New Roman" w:hAnsi="Times New Roman"/>
          <w:sz w:val="24"/>
          <w:szCs w:val="24"/>
        </w:rPr>
        <w:t xml:space="preserve"> районе осуществляется в условиях образовательных организаций или по заключению врачебной комиссии на дому. 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530">
        <w:rPr>
          <w:rFonts w:ascii="Times New Roman" w:hAnsi="Times New Roman"/>
          <w:sz w:val="24"/>
          <w:szCs w:val="24"/>
        </w:rPr>
        <w:t>На 1 сентября 2021 года в общеобразовательн</w:t>
      </w:r>
      <w:r w:rsidR="00F43530" w:rsidRPr="00F43530">
        <w:rPr>
          <w:rFonts w:ascii="Times New Roman" w:hAnsi="Times New Roman"/>
          <w:sz w:val="24"/>
          <w:szCs w:val="24"/>
        </w:rPr>
        <w:t>ых организациях района</w:t>
      </w:r>
      <w:r w:rsidRPr="00F43530">
        <w:rPr>
          <w:rFonts w:ascii="Times New Roman" w:hAnsi="Times New Roman"/>
          <w:sz w:val="24"/>
          <w:szCs w:val="24"/>
        </w:rPr>
        <w:t xml:space="preserve"> 274 ребенка с ограниченными возможностями здоровья и 49 детей-инвалидов; в образовательных организациях, осуществляющих образовательную деятельность по реализации образовательных программ дошкольного образования, обучаются 62 ребенка с ограниченными возможностями здоровья и 9 детей-инвалидов.</w:t>
      </w:r>
      <w:r w:rsidR="00F43530">
        <w:rPr>
          <w:rFonts w:ascii="Times New Roman" w:hAnsi="Times New Roman"/>
          <w:sz w:val="24"/>
          <w:szCs w:val="24"/>
        </w:rPr>
        <w:t xml:space="preserve"> 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062">
        <w:rPr>
          <w:rFonts w:ascii="Times New Roman" w:eastAsiaTheme="minorEastAsia" w:hAnsi="Times New Roman"/>
          <w:sz w:val="24"/>
          <w:szCs w:val="24"/>
        </w:rPr>
        <w:t xml:space="preserve">В общеобразовательных организациях района для детей с ограниченными возможностями здоровья, в том числе для детей-инвалидов, созданы специальные условия для получения образования: разработаны адаптированные общеобразовательные программы, организовано психолого-педагогическое сопровождение детей (коррекционно-развивающие занятия с педагогом-психологом, учителем-логопедом, учителем-дефектологом), педагогами используются </w:t>
      </w:r>
      <w:r w:rsidRPr="00967062">
        <w:rPr>
          <w:rFonts w:ascii="Times New Roman" w:eastAsiaTheme="minorEastAsia" w:hAnsi="Times New Roman"/>
          <w:spacing w:val="3"/>
          <w:sz w:val="24"/>
          <w:szCs w:val="24"/>
          <w:shd w:val="clear" w:color="auto" w:fill="FFFFFF"/>
        </w:rPr>
        <w:t xml:space="preserve">специальные методы обучения и </w:t>
      </w:r>
      <w:r w:rsidRPr="00967062">
        <w:rPr>
          <w:rFonts w:ascii="Times New Roman" w:eastAsiaTheme="minorEastAsia" w:hAnsi="Times New Roman"/>
          <w:spacing w:val="3"/>
          <w:sz w:val="24"/>
          <w:szCs w:val="24"/>
          <w:shd w:val="clear" w:color="auto" w:fill="FFFFFF"/>
        </w:rPr>
        <w:lastRenderedPageBreak/>
        <w:t>воспитания, специальные учебники, учебные пособия, дидактические материалы, адаптированные для</w:t>
      </w:r>
      <w:r w:rsidRPr="00967062">
        <w:rPr>
          <w:rFonts w:ascii="Times New Roman" w:eastAsiaTheme="minorEastAsia" w:hAnsi="Times New Roman"/>
          <w:sz w:val="24"/>
          <w:szCs w:val="24"/>
        </w:rPr>
        <w:t xml:space="preserve"> детей с ограниченными возможностями здоровья.</w:t>
      </w:r>
      <w:proofErr w:type="gramEnd"/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eastAsiaTheme="minorEastAsia" w:hAnsi="Times New Roman"/>
          <w:sz w:val="24"/>
          <w:szCs w:val="24"/>
        </w:rPr>
        <w:t xml:space="preserve">Дети-инвалиды, которые по состоянию здоровья временно или постоянно не могут посещать общеобразовательные организации, обучаются по индивидуальной программе на дому. Основанием для организации обучения на дому ребёнка – инвалида являются заключение медицинской организации и в письменной форме обращение родителей (законных представителей). В 2021 году организовано обучение 80 детей-инвалидов на дому по общеобразовательным и адаптированным общеобразовательным программам. 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hAnsi="Times New Roman"/>
          <w:sz w:val="24"/>
          <w:szCs w:val="24"/>
        </w:rPr>
        <w:t xml:space="preserve">Охват общим и специальным образованием детей с ограниченными возможностями здоровья и детей-инвалидов составляет 100%. 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eastAsiaTheme="minorEastAsia" w:hAnsi="Times New Roman"/>
          <w:sz w:val="24"/>
          <w:szCs w:val="24"/>
        </w:rPr>
        <w:t>Образовательные организации детям-инвалидам, обучающимся на дому: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hAnsi="Times New Roman"/>
          <w:sz w:val="24"/>
          <w:szCs w:val="24"/>
        </w:rPr>
        <w:t>предоставляют бесплатно учебники, учебную и справочную литературу на время обучения;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hAnsi="Times New Roman"/>
          <w:sz w:val="24"/>
          <w:szCs w:val="24"/>
        </w:rPr>
        <w:t>обеспечивают специалистами из числа педагогиче</w:t>
      </w:r>
      <w:r w:rsidR="00F43530">
        <w:rPr>
          <w:rFonts w:ascii="Times New Roman" w:hAnsi="Times New Roman"/>
          <w:sz w:val="24"/>
          <w:szCs w:val="24"/>
        </w:rPr>
        <w:t>ских работников;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hAnsi="Times New Roman"/>
          <w:sz w:val="24"/>
          <w:szCs w:val="24"/>
        </w:rPr>
        <w:t>оказывают методическую и консультативную помощь, необходимую для освоения общеобразовательных программ;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hAnsi="Times New Roman"/>
          <w:sz w:val="24"/>
          <w:szCs w:val="24"/>
        </w:rPr>
        <w:t>разрабатывают адаптированные образовательные программы и адаптированные основные общеобразовательные программы;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hAnsi="Times New Roman"/>
          <w:sz w:val="24"/>
          <w:szCs w:val="24"/>
        </w:rPr>
        <w:t>осуществляют промежуточ</w:t>
      </w:r>
      <w:r w:rsidR="00F43530">
        <w:rPr>
          <w:rFonts w:ascii="Times New Roman" w:hAnsi="Times New Roman"/>
          <w:sz w:val="24"/>
          <w:szCs w:val="24"/>
        </w:rPr>
        <w:t>ную и итоговую аттестацию;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hAnsi="Times New Roman"/>
          <w:sz w:val="24"/>
          <w:szCs w:val="24"/>
        </w:rPr>
        <w:t>выдают прошедшим итоговую аттестацию документ государственного образца о соответствующем образовании;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hAnsi="Times New Roman"/>
          <w:sz w:val="24"/>
          <w:szCs w:val="24"/>
        </w:rPr>
        <w:t>осуществляют психолого-педагогическое</w:t>
      </w:r>
      <w:r w:rsidR="00F43530">
        <w:rPr>
          <w:rFonts w:ascii="Times New Roman" w:hAnsi="Times New Roman"/>
          <w:sz w:val="24"/>
          <w:szCs w:val="24"/>
        </w:rPr>
        <w:t xml:space="preserve"> сопровождение детей-инвалидов.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062">
        <w:rPr>
          <w:rFonts w:ascii="Times New Roman" w:eastAsiaTheme="minorEastAsia" w:hAnsi="Times New Roman"/>
          <w:sz w:val="24"/>
          <w:szCs w:val="24"/>
        </w:rPr>
        <w:t>В дошкольных образовательных организациях также создаются специальные условия для пребывания детей с ограниченными возможностями здоровья, в том числе для детей-инвалидов: разработаны адаптированные образовательные программы дошкольного образования для 70 детей, организовано психолого-педагогическое сопровождение, приобретено оборудование для развития общей и мелкой моторики, тренажёры для развития зрительного восприятия, речи, дидактические игры, спортивные тренажёры и др.</w:t>
      </w:r>
      <w:proofErr w:type="gramEnd"/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hAnsi="Times New Roman"/>
          <w:sz w:val="24"/>
          <w:szCs w:val="24"/>
        </w:rPr>
        <w:t>Для всех родителей, дети которых не зарегистрированы в образовательных организациях, реализующих программы дошкольного    образования, созданы условия для оказания консультативной, методической, психолого-педагогической помощи (организована работа консультационных пунктов, семейных клубов).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062">
        <w:rPr>
          <w:rFonts w:ascii="Times New Roman" w:hAnsi="Times New Roman"/>
          <w:sz w:val="24"/>
          <w:szCs w:val="24"/>
        </w:rPr>
        <w:t>В 35 (100%) образовательных организациях Ханты-Мансийского района имеются пандусы (капитальные и приставные), в рамках реализации муниципальной программы «Формирование доступной среды для инвалидов и других маломобильных групп населения Ханты-Мансийского района на 2022-2024 годы</w:t>
      </w:r>
      <w:r w:rsidR="00F43530">
        <w:rPr>
          <w:rFonts w:ascii="Times New Roman" w:hAnsi="Times New Roman"/>
          <w:sz w:val="24"/>
          <w:szCs w:val="24"/>
        </w:rPr>
        <w:t>»</w:t>
      </w:r>
      <w:r w:rsidRPr="00967062">
        <w:rPr>
          <w:rFonts w:ascii="Times New Roman" w:hAnsi="Times New Roman"/>
          <w:sz w:val="24"/>
          <w:szCs w:val="24"/>
        </w:rPr>
        <w:t>, в соответствии с постановлением администрации Ханты-Мансийского района от 07.08.2013 № 196 «Об организации обследования и формирования Паспортов доступности объектов социальной инфраструктуры» на все образовательные учреждения Ханты-Мансийского района имеются паспорта</w:t>
      </w:r>
      <w:proofErr w:type="gramEnd"/>
      <w:r w:rsidRPr="00967062">
        <w:rPr>
          <w:rFonts w:ascii="Times New Roman" w:hAnsi="Times New Roman"/>
          <w:sz w:val="24"/>
          <w:szCs w:val="24"/>
        </w:rPr>
        <w:t xml:space="preserve"> доступности.</w:t>
      </w:r>
    </w:p>
    <w:p w:rsid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eastAsiaTheme="minorEastAsia" w:hAnsi="Times New Roman"/>
          <w:bCs/>
          <w:sz w:val="24"/>
          <w:szCs w:val="24"/>
        </w:rPr>
        <w:t>Дети-инвалиды и дети с ограниченными возможностями здоровья, не имеющие медицинских противопоказаний, охвачены физкультурно-спортивными мероприятиями, проводимыми в образовательных организациях Ханты-Мансийского района, на 100%.</w:t>
      </w:r>
    </w:p>
    <w:p w:rsidR="008B25C1" w:rsidRPr="00F43530" w:rsidRDefault="008B25C1" w:rsidP="00F4353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062">
        <w:rPr>
          <w:rFonts w:ascii="Times New Roman" w:eastAsiaTheme="minorEastAsia" w:hAnsi="Times New Roman"/>
          <w:sz w:val="24"/>
          <w:szCs w:val="24"/>
        </w:rPr>
        <w:t>Удовлетворенность населения качеством общего образования в 2021 году составила 96,3% (20</w:t>
      </w:r>
      <w:r w:rsidR="00F43530">
        <w:rPr>
          <w:rFonts w:ascii="Times New Roman" w:eastAsiaTheme="minorEastAsia" w:hAnsi="Times New Roman"/>
          <w:sz w:val="24"/>
          <w:szCs w:val="24"/>
        </w:rPr>
        <w:t>20 год – 96,0%</w:t>
      </w:r>
      <w:r w:rsidRPr="00967062">
        <w:rPr>
          <w:rFonts w:ascii="Times New Roman" w:eastAsiaTheme="minorEastAsia" w:hAnsi="Times New Roman"/>
          <w:sz w:val="24"/>
          <w:szCs w:val="24"/>
        </w:rPr>
        <w:t>), дошкольного образования 97,2%, (20</w:t>
      </w:r>
      <w:r w:rsidR="00F43530">
        <w:rPr>
          <w:rFonts w:ascii="Times New Roman" w:eastAsiaTheme="minorEastAsia" w:hAnsi="Times New Roman"/>
          <w:sz w:val="24"/>
          <w:szCs w:val="24"/>
        </w:rPr>
        <w:t>20 год – 97,1%</w:t>
      </w:r>
      <w:r w:rsidRPr="00967062">
        <w:rPr>
          <w:rFonts w:ascii="Times New Roman" w:eastAsiaTheme="minorEastAsia" w:hAnsi="Times New Roman"/>
          <w:sz w:val="24"/>
          <w:szCs w:val="24"/>
        </w:rPr>
        <w:t>), дополнительного образования 97,3% (202</w:t>
      </w:r>
      <w:r w:rsidR="00F43530">
        <w:rPr>
          <w:rFonts w:ascii="Times New Roman" w:eastAsiaTheme="minorEastAsia" w:hAnsi="Times New Roman"/>
          <w:sz w:val="24"/>
          <w:szCs w:val="24"/>
        </w:rPr>
        <w:t>0 год – 97,6%</w:t>
      </w:r>
      <w:r w:rsidRPr="00967062">
        <w:rPr>
          <w:rFonts w:ascii="Times New Roman" w:eastAsiaTheme="minorEastAsia" w:hAnsi="Times New Roman"/>
          <w:sz w:val="24"/>
          <w:szCs w:val="24"/>
        </w:rPr>
        <w:t>).</w:t>
      </w:r>
    </w:p>
    <w:p w:rsidR="00F173FD" w:rsidRPr="00BC7030" w:rsidRDefault="00F173FD" w:rsidP="00BC703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173FD" w:rsidRPr="00BC7030" w:rsidSect="001C55FB">
      <w:pgSz w:w="11906" w:h="16838"/>
      <w:pgMar w:top="1418" w:right="96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32" w:rsidRDefault="008B4A32" w:rsidP="00FC061E">
      <w:pPr>
        <w:spacing w:after="0" w:line="240" w:lineRule="auto"/>
      </w:pPr>
      <w:r>
        <w:separator/>
      </w:r>
    </w:p>
  </w:endnote>
  <w:endnote w:type="continuationSeparator" w:id="0">
    <w:p w:rsidR="008B4A32" w:rsidRDefault="008B4A32" w:rsidP="00FC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32" w:rsidRDefault="008B4A32" w:rsidP="00FC061E">
      <w:pPr>
        <w:spacing w:after="0" w:line="240" w:lineRule="auto"/>
      </w:pPr>
      <w:r>
        <w:separator/>
      </w:r>
    </w:p>
  </w:footnote>
  <w:footnote w:type="continuationSeparator" w:id="0">
    <w:p w:rsidR="008B4A32" w:rsidRDefault="008B4A32" w:rsidP="00FC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060192"/>
      <w:docPartObj>
        <w:docPartGallery w:val="Page Numbers (Top of Page)"/>
        <w:docPartUnique/>
      </w:docPartObj>
    </w:sdtPr>
    <w:sdtEndPr/>
    <w:sdtContent>
      <w:p w:rsidR="008B4A32" w:rsidRDefault="008B4A3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D7A">
          <w:rPr>
            <w:noProof/>
          </w:rPr>
          <w:t>41</w:t>
        </w:r>
        <w:r>
          <w:fldChar w:fldCharType="end"/>
        </w:r>
      </w:p>
    </w:sdtContent>
  </w:sdt>
  <w:p w:rsidR="008B4A32" w:rsidRDefault="008B4A3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E9"/>
    <w:multiLevelType w:val="hybridMultilevel"/>
    <w:tmpl w:val="A93CD0E2"/>
    <w:lvl w:ilvl="0" w:tplc="61601C3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883"/>
    <w:multiLevelType w:val="hybridMultilevel"/>
    <w:tmpl w:val="9FECAE1E"/>
    <w:lvl w:ilvl="0" w:tplc="E290318E">
      <w:start w:val="1"/>
      <w:numFmt w:val="decimal"/>
      <w:lvlText w:val="%1."/>
      <w:lvlJc w:val="left"/>
      <w:pPr>
        <w:ind w:left="1485" w:hanging="945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365C70"/>
    <w:multiLevelType w:val="hybridMultilevel"/>
    <w:tmpl w:val="B4C2288C"/>
    <w:lvl w:ilvl="0" w:tplc="A57AB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41DA0"/>
    <w:multiLevelType w:val="hybridMultilevel"/>
    <w:tmpl w:val="4CE67F84"/>
    <w:lvl w:ilvl="0" w:tplc="E4088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C3B90"/>
    <w:multiLevelType w:val="hybridMultilevel"/>
    <w:tmpl w:val="62D89306"/>
    <w:lvl w:ilvl="0" w:tplc="A57AB5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C55C15"/>
    <w:multiLevelType w:val="hybridMultilevel"/>
    <w:tmpl w:val="D8B06E54"/>
    <w:lvl w:ilvl="0" w:tplc="2FF09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A9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4F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60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A2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E8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E5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9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E0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655E9"/>
    <w:multiLevelType w:val="hybridMultilevel"/>
    <w:tmpl w:val="1960D03A"/>
    <w:lvl w:ilvl="0" w:tplc="F4447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E36FF"/>
    <w:multiLevelType w:val="hybridMultilevel"/>
    <w:tmpl w:val="45CAE024"/>
    <w:lvl w:ilvl="0" w:tplc="BFEA2EDC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ADF"/>
    <w:multiLevelType w:val="multilevel"/>
    <w:tmpl w:val="0AC6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9">
    <w:nsid w:val="26BD533A"/>
    <w:multiLevelType w:val="hybridMultilevel"/>
    <w:tmpl w:val="895856E8"/>
    <w:lvl w:ilvl="0" w:tplc="09B8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EB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6B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8A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20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CA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46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2A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C27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A5377"/>
    <w:multiLevelType w:val="hybridMultilevel"/>
    <w:tmpl w:val="CADAADDC"/>
    <w:lvl w:ilvl="0" w:tplc="325A28C0">
      <w:start w:val="1"/>
      <w:numFmt w:val="decimal"/>
      <w:lvlText w:val="%1."/>
      <w:lvlJc w:val="left"/>
      <w:pPr>
        <w:ind w:left="1401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F0055D"/>
    <w:multiLevelType w:val="hybridMultilevel"/>
    <w:tmpl w:val="1C60F5AE"/>
    <w:lvl w:ilvl="0" w:tplc="918898AA">
      <w:start w:val="1"/>
      <w:numFmt w:val="decimal"/>
      <w:lvlText w:val="%1."/>
      <w:lvlJc w:val="left"/>
      <w:pPr>
        <w:ind w:left="1440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A5399E"/>
    <w:multiLevelType w:val="hybridMultilevel"/>
    <w:tmpl w:val="2B388DEE"/>
    <w:lvl w:ilvl="0" w:tplc="7DC4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475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EC9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E8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FEC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C5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C3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C3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A6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14695"/>
    <w:multiLevelType w:val="hybridMultilevel"/>
    <w:tmpl w:val="EC2864B4"/>
    <w:lvl w:ilvl="0" w:tplc="325A28C0">
      <w:start w:val="1"/>
      <w:numFmt w:val="decimal"/>
      <w:lvlText w:val="%1."/>
      <w:lvlJc w:val="left"/>
      <w:pPr>
        <w:ind w:left="2393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E31908"/>
    <w:multiLevelType w:val="hybridMultilevel"/>
    <w:tmpl w:val="FF40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615C6"/>
    <w:multiLevelType w:val="hybridMultilevel"/>
    <w:tmpl w:val="E39C6010"/>
    <w:lvl w:ilvl="0" w:tplc="5770BA0C">
      <w:start w:val="1"/>
      <w:numFmt w:val="decimal"/>
      <w:lvlText w:val="%1."/>
      <w:lvlJc w:val="left"/>
      <w:pPr>
        <w:ind w:left="1650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0B6EA0"/>
    <w:multiLevelType w:val="hybridMultilevel"/>
    <w:tmpl w:val="9E3E61A4"/>
    <w:lvl w:ilvl="0" w:tplc="F4447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D45B7"/>
    <w:multiLevelType w:val="multilevel"/>
    <w:tmpl w:val="7062C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8" w:hanging="1800"/>
      </w:pPr>
      <w:rPr>
        <w:rFonts w:hint="default"/>
      </w:rPr>
    </w:lvl>
  </w:abstractNum>
  <w:abstractNum w:abstractNumId="18">
    <w:nsid w:val="49FC0671"/>
    <w:multiLevelType w:val="hybridMultilevel"/>
    <w:tmpl w:val="117AFCE8"/>
    <w:lvl w:ilvl="0" w:tplc="C60E96F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53D28"/>
    <w:multiLevelType w:val="hybridMultilevel"/>
    <w:tmpl w:val="DB7CE83C"/>
    <w:lvl w:ilvl="0" w:tplc="56383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E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4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03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82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6A2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88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01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64D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DC0BB2"/>
    <w:multiLevelType w:val="hybridMultilevel"/>
    <w:tmpl w:val="2054BA9A"/>
    <w:lvl w:ilvl="0" w:tplc="3894F2CE">
      <w:start w:val="1"/>
      <w:numFmt w:val="decimal"/>
      <w:lvlText w:val="%1."/>
      <w:lvlJc w:val="left"/>
      <w:pPr>
        <w:ind w:left="1365" w:hanging="825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5D2B6F"/>
    <w:multiLevelType w:val="hybridMultilevel"/>
    <w:tmpl w:val="E1FC11A4"/>
    <w:lvl w:ilvl="0" w:tplc="A57AB5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DA5594"/>
    <w:multiLevelType w:val="hybridMultilevel"/>
    <w:tmpl w:val="5B80BA20"/>
    <w:lvl w:ilvl="0" w:tplc="50D09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145A0D"/>
    <w:multiLevelType w:val="multilevel"/>
    <w:tmpl w:val="E7CE8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u w:val="single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color w:val="auto"/>
        <w:u w:val="single"/>
      </w:rPr>
    </w:lvl>
  </w:abstractNum>
  <w:abstractNum w:abstractNumId="24">
    <w:nsid w:val="681B1495"/>
    <w:multiLevelType w:val="hybridMultilevel"/>
    <w:tmpl w:val="8632C8AA"/>
    <w:lvl w:ilvl="0" w:tplc="F44479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88740A9"/>
    <w:multiLevelType w:val="multilevel"/>
    <w:tmpl w:val="E7CE8A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  <w:color w:val="auto"/>
        <w:u w:val="single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  <w:color w:val="auto"/>
        <w:u w:val="single"/>
      </w:rPr>
    </w:lvl>
  </w:abstractNum>
  <w:abstractNum w:abstractNumId="26">
    <w:nsid w:val="6A9C3D45"/>
    <w:multiLevelType w:val="hybridMultilevel"/>
    <w:tmpl w:val="6128C2A4"/>
    <w:lvl w:ilvl="0" w:tplc="BE90170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4B6DBB"/>
    <w:multiLevelType w:val="hybridMultilevel"/>
    <w:tmpl w:val="2DEE4A2E"/>
    <w:lvl w:ilvl="0" w:tplc="72C43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D545E2"/>
    <w:multiLevelType w:val="hybridMultilevel"/>
    <w:tmpl w:val="6F9C4098"/>
    <w:lvl w:ilvl="0" w:tplc="E290318E">
      <w:start w:val="1"/>
      <w:numFmt w:val="decimal"/>
      <w:lvlText w:val="%1."/>
      <w:lvlJc w:val="left"/>
      <w:pPr>
        <w:ind w:left="1485" w:hanging="945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6CE"/>
    <w:multiLevelType w:val="hybridMultilevel"/>
    <w:tmpl w:val="BF361A86"/>
    <w:lvl w:ilvl="0" w:tplc="5A587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9"/>
  </w:num>
  <w:num w:numId="5">
    <w:abstractNumId w:val="5"/>
  </w:num>
  <w:num w:numId="6">
    <w:abstractNumId w:val="26"/>
  </w:num>
  <w:num w:numId="7">
    <w:abstractNumId w:val="11"/>
  </w:num>
  <w:num w:numId="8">
    <w:abstractNumId w:val="22"/>
  </w:num>
  <w:num w:numId="9">
    <w:abstractNumId w:val="27"/>
  </w:num>
  <w:num w:numId="10">
    <w:abstractNumId w:val="29"/>
  </w:num>
  <w:num w:numId="11">
    <w:abstractNumId w:val="1"/>
  </w:num>
  <w:num w:numId="12">
    <w:abstractNumId w:val="28"/>
  </w:num>
  <w:num w:numId="13">
    <w:abstractNumId w:val="15"/>
  </w:num>
  <w:num w:numId="14">
    <w:abstractNumId w:val="20"/>
  </w:num>
  <w:num w:numId="15">
    <w:abstractNumId w:val="2"/>
  </w:num>
  <w:num w:numId="16">
    <w:abstractNumId w:val="21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23"/>
  </w:num>
  <w:num w:numId="22">
    <w:abstractNumId w:val="14"/>
  </w:num>
  <w:num w:numId="23">
    <w:abstractNumId w:val="25"/>
  </w:num>
  <w:num w:numId="24">
    <w:abstractNumId w:val="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16"/>
  </w:num>
  <w:num w:numId="29">
    <w:abstractNumId w:val="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694"/>
    <w:rsid w:val="000013F9"/>
    <w:rsid w:val="00002413"/>
    <w:rsid w:val="000042D6"/>
    <w:rsid w:val="000063D7"/>
    <w:rsid w:val="000115F9"/>
    <w:rsid w:val="00011C70"/>
    <w:rsid w:val="00023B05"/>
    <w:rsid w:val="00023D3F"/>
    <w:rsid w:val="000323EB"/>
    <w:rsid w:val="00033DD9"/>
    <w:rsid w:val="00034729"/>
    <w:rsid w:val="00040026"/>
    <w:rsid w:val="00041F4A"/>
    <w:rsid w:val="000464B3"/>
    <w:rsid w:val="00052FA6"/>
    <w:rsid w:val="0005384D"/>
    <w:rsid w:val="000544AB"/>
    <w:rsid w:val="00056CFC"/>
    <w:rsid w:val="000640A4"/>
    <w:rsid w:val="000644CE"/>
    <w:rsid w:val="00064665"/>
    <w:rsid w:val="00064CDB"/>
    <w:rsid w:val="00071E16"/>
    <w:rsid w:val="00073F83"/>
    <w:rsid w:val="00077292"/>
    <w:rsid w:val="000870AD"/>
    <w:rsid w:val="00094037"/>
    <w:rsid w:val="000A531F"/>
    <w:rsid w:val="000A7073"/>
    <w:rsid w:val="000B7963"/>
    <w:rsid w:val="000C2320"/>
    <w:rsid w:val="000C5606"/>
    <w:rsid w:val="000D495F"/>
    <w:rsid w:val="000D52E0"/>
    <w:rsid w:val="000D745F"/>
    <w:rsid w:val="000E267A"/>
    <w:rsid w:val="000E3893"/>
    <w:rsid w:val="000E492A"/>
    <w:rsid w:val="000E7D96"/>
    <w:rsid w:val="000F0B97"/>
    <w:rsid w:val="00100250"/>
    <w:rsid w:val="00102DEB"/>
    <w:rsid w:val="001033D5"/>
    <w:rsid w:val="00105BA7"/>
    <w:rsid w:val="0011026F"/>
    <w:rsid w:val="00111B40"/>
    <w:rsid w:val="001272FC"/>
    <w:rsid w:val="00127EDF"/>
    <w:rsid w:val="00132817"/>
    <w:rsid w:val="001334C2"/>
    <w:rsid w:val="0014187B"/>
    <w:rsid w:val="001515F0"/>
    <w:rsid w:val="00151BF9"/>
    <w:rsid w:val="0016751E"/>
    <w:rsid w:val="00172A8C"/>
    <w:rsid w:val="0017689B"/>
    <w:rsid w:val="00177375"/>
    <w:rsid w:val="00185431"/>
    <w:rsid w:val="0019074A"/>
    <w:rsid w:val="00192CFA"/>
    <w:rsid w:val="00194585"/>
    <w:rsid w:val="00196EDC"/>
    <w:rsid w:val="001979F9"/>
    <w:rsid w:val="00197D7A"/>
    <w:rsid w:val="001B432E"/>
    <w:rsid w:val="001B6909"/>
    <w:rsid w:val="001C0334"/>
    <w:rsid w:val="001C1427"/>
    <w:rsid w:val="001C1447"/>
    <w:rsid w:val="001C55FB"/>
    <w:rsid w:val="001C5ED9"/>
    <w:rsid w:val="001C7871"/>
    <w:rsid w:val="001D10BD"/>
    <w:rsid w:val="001D1E90"/>
    <w:rsid w:val="001D1FFE"/>
    <w:rsid w:val="001D2977"/>
    <w:rsid w:val="001F7104"/>
    <w:rsid w:val="00203BA8"/>
    <w:rsid w:val="00211A1F"/>
    <w:rsid w:val="002124A9"/>
    <w:rsid w:val="00214DBD"/>
    <w:rsid w:val="002234D6"/>
    <w:rsid w:val="00227088"/>
    <w:rsid w:val="00236DB6"/>
    <w:rsid w:val="00245C8D"/>
    <w:rsid w:val="0024629E"/>
    <w:rsid w:val="002556A7"/>
    <w:rsid w:val="00261439"/>
    <w:rsid w:val="00266BFB"/>
    <w:rsid w:val="002675D7"/>
    <w:rsid w:val="00274259"/>
    <w:rsid w:val="002751E8"/>
    <w:rsid w:val="00275F7F"/>
    <w:rsid w:val="0027742A"/>
    <w:rsid w:val="002811B3"/>
    <w:rsid w:val="00284325"/>
    <w:rsid w:val="00287125"/>
    <w:rsid w:val="0029218C"/>
    <w:rsid w:val="00296F28"/>
    <w:rsid w:val="002A1375"/>
    <w:rsid w:val="002A2816"/>
    <w:rsid w:val="002A2E06"/>
    <w:rsid w:val="002B5AC4"/>
    <w:rsid w:val="002C019D"/>
    <w:rsid w:val="002C3DCA"/>
    <w:rsid w:val="002C4B3E"/>
    <w:rsid w:val="002C59B3"/>
    <w:rsid w:val="002D1702"/>
    <w:rsid w:val="002D35BB"/>
    <w:rsid w:val="002E3013"/>
    <w:rsid w:val="002E3694"/>
    <w:rsid w:val="002F207A"/>
    <w:rsid w:val="002F2D49"/>
    <w:rsid w:val="002F529F"/>
    <w:rsid w:val="002F54F2"/>
    <w:rsid w:val="0030043D"/>
    <w:rsid w:val="003111F8"/>
    <w:rsid w:val="003139C7"/>
    <w:rsid w:val="0031627B"/>
    <w:rsid w:val="00330BA0"/>
    <w:rsid w:val="00335896"/>
    <w:rsid w:val="00335D47"/>
    <w:rsid w:val="003435C0"/>
    <w:rsid w:val="00343FA9"/>
    <w:rsid w:val="003462B1"/>
    <w:rsid w:val="003501E4"/>
    <w:rsid w:val="00360846"/>
    <w:rsid w:val="00362D44"/>
    <w:rsid w:val="00371FA8"/>
    <w:rsid w:val="0037487B"/>
    <w:rsid w:val="00381F28"/>
    <w:rsid w:val="00384485"/>
    <w:rsid w:val="00393F96"/>
    <w:rsid w:val="003A172B"/>
    <w:rsid w:val="003A26EC"/>
    <w:rsid w:val="003A5F1B"/>
    <w:rsid w:val="003A668E"/>
    <w:rsid w:val="003A696C"/>
    <w:rsid w:val="003B02EB"/>
    <w:rsid w:val="003B0BED"/>
    <w:rsid w:val="003B193B"/>
    <w:rsid w:val="003C0EA6"/>
    <w:rsid w:val="003C3208"/>
    <w:rsid w:val="003C7C0E"/>
    <w:rsid w:val="003D2DB4"/>
    <w:rsid w:val="003D5DB5"/>
    <w:rsid w:val="003E176B"/>
    <w:rsid w:val="003E276F"/>
    <w:rsid w:val="003E3A4F"/>
    <w:rsid w:val="003F40F3"/>
    <w:rsid w:val="003F63EF"/>
    <w:rsid w:val="003F6C44"/>
    <w:rsid w:val="00400918"/>
    <w:rsid w:val="004064CD"/>
    <w:rsid w:val="004121DB"/>
    <w:rsid w:val="004163C5"/>
    <w:rsid w:val="0041651F"/>
    <w:rsid w:val="004230BE"/>
    <w:rsid w:val="004234BF"/>
    <w:rsid w:val="004241C2"/>
    <w:rsid w:val="004268B2"/>
    <w:rsid w:val="00434798"/>
    <w:rsid w:val="00435A64"/>
    <w:rsid w:val="00446312"/>
    <w:rsid w:val="00447585"/>
    <w:rsid w:val="00451DBF"/>
    <w:rsid w:val="00455117"/>
    <w:rsid w:val="0045771C"/>
    <w:rsid w:val="00460803"/>
    <w:rsid w:val="00464A89"/>
    <w:rsid w:val="00465271"/>
    <w:rsid w:val="00476B40"/>
    <w:rsid w:val="00483C9C"/>
    <w:rsid w:val="0049226D"/>
    <w:rsid w:val="00492C08"/>
    <w:rsid w:val="004936CA"/>
    <w:rsid w:val="004A3BFF"/>
    <w:rsid w:val="004A4EB5"/>
    <w:rsid w:val="004A5660"/>
    <w:rsid w:val="004A5B20"/>
    <w:rsid w:val="004B097D"/>
    <w:rsid w:val="004B1C57"/>
    <w:rsid w:val="004B29FE"/>
    <w:rsid w:val="004C0DA0"/>
    <w:rsid w:val="004C1988"/>
    <w:rsid w:val="004C4F46"/>
    <w:rsid w:val="004C6122"/>
    <w:rsid w:val="004C74BD"/>
    <w:rsid w:val="004D2AB4"/>
    <w:rsid w:val="004D30F9"/>
    <w:rsid w:val="004E0C3C"/>
    <w:rsid w:val="004E1938"/>
    <w:rsid w:val="004E50F1"/>
    <w:rsid w:val="004F1010"/>
    <w:rsid w:val="004F49A0"/>
    <w:rsid w:val="004F7BDC"/>
    <w:rsid w:val="00501220"/>
    <w:rsid w:val="0050379A"/>
    <w:rsid w:val="00511B48"/>
    <w:rsid w:val="00516DEE"/>
    <w:rsid w:val="00520109"/>
    <w:rsid w:val="005242C3"/>
    <w:rsid w:val="0053492E"/>
    <w:rsid w:val="0053528D"/>
    <w:rsid w:val="0054425E"/>
    <w:rsid w:val="00544EA1"/>
    <w:rsid w:val="00552117"/>
    <w:rsid w:val="005527AA"/>
    <w:rsid w:val="00556B88"/>
    <w:rsid w:val="00557FAA"/>
    <w:rsid w:val="0056108F"/>
    <w:rsid w:val="00563DC0"/>
    <w:rsid w:val="0056607E"/>
    <w:rsid w:val="00572740"/>
    <w:rsid w:val="0057346A"/>
    <w:rsid w:val="00573BFF"/>
    <w:rsid w:val="00576E85"/>
    <w:rsid w:val="005A0466"/>
    <w:rsid w:val="005A58D4"/>
    <w:rsid w:val="005A6E81"/>
    <w:rsid w:val="005B1FE3"/>
    <w:rsid w:val="005B381A"/>
    <w:rsid w:val="005C1B93"/>
    <w:rsid w:val="005C708C"/>
    <w:rsid w:val="005D2D58"/>
    <w:rsid w:val="005E2313"/>
    <w:rsid w:val="005F13E5"/>
    <w:rsid w:val="005F5432"/>
    <w:rsid w:val="005F7BE5"/>
    <w:rsid w:val="00603F3D"/>
    <w:rsid w:val="00604242"/>
    <w:rsid w:val="00604CB8"/>
    <w:rsid w:val="006074E5"/>
    <w:rsid w:val="00613472"/>
    <w:rsid w:val="006145C3"/>
    <w:rsid w:val="006212C5"/>
    <w:rsid w:val="00632483"/>
    <w:rsid w:val="00634319"/>
    <w:rsid w:val="0064616A"/>
    <w:rsid w:val="0065400B"/>
    <w:rsid w:val="00654092"/>
    <w:rsid w:val="006562C0"/>
    <w:rsid w:val="00656DAC"/>
    <w:rsid w:val="00660344"/>
    <w:rsid w:val="00667E1D"/>
    <w:rsid w:val="00671303"/>
    <w:rsid w:val="006732D0"/>
    <w:rsid w:val="006747C0"/>
    <w:rsid w:val="0068416D"/>
    <w:rsid w:val="00684D55"/>
    <w:rsid w:val="00693010"/>
    <w:rsid w:val="00697ABA"/>
    <w:rsid w:val="006A0F75"/>
    <w:rsid w:val="006A23DA"/>
    <w:rsid w:val="006A2D7B"/>
    <w:rsid w:val="006B7CD2"/>
    <w:rsid w:val="006C004F"/>
    <w:rsid w:val="006C296C"/>
    <w:rsid w:val="006C778B"/>
    <w:rsid w:val="006D3F81"/>
    <w:rsid w:val="006D57EF"/>
    <w:rsid w:val="006D7E49"/>
    <w:rsid w:val="006F2F1C"/>
    <w:rsid w:val="006F5AE2"/>
    <w:rsid w:val="006F6A8B"/>
    <w:rsid w:val="0071024A"/>
    <w:rsid w:val="00723C3B"/>
    <w:rsid w:val="00730191"/>
    <w:rsid w:val="00735AF0"/>
    <w:rsid w:val="00750EE2"/>
    <w:rsid w:val="00752FF1"/>
    <w:rsid w:val="007531B1"/>
    <w:rsid w:val="00757A3E"/>
    <w:rsid w:val="0076124E"/>
    <w:rsid w:val="007634B5"/>
    <w:rsid w:val="00766A68"/>
    <w:rsid w:val="00766D7F"/>
    <w:rsid w:val="00770171"/>
    <w:rsid w:val="00774FE9"/>
    <w:rsid w:val="0078239F"/>
    <w:rsid w:val="007B32C5"/>
    <w:rsid w:val="007B758D"/>
    <w:rsid w:val="007C30F6"/>
    <w:rsid w:val="007C6A37"/>
    <w:rsid w:val="007D2789"/>
    <w:rsid w:val="007E0D3B"/>
    <w:rsid w:val="007E0E97"/>
    <w:rsid w:val="007E276F"/>
    <w:rsid w:val="007E2DE6"/>
    <w:rsid w:val="007E4B49"/>
    <w:rsid w:val="007E4D0B"/>
    <w:rsid w:val="007F1526"/>
    <w:rsid w:val="007F240E"/>
    <w:rsid w:val="007F24E2"/>
    <w:rsid w:val="007F2598"/>
    <w:rsid w:val="007F36E8"/>
    <w:rsid w:val="007F5D15"/>
    <w:rsid w:val="007F5FF9"/>
    <w:rsid w:val="00802206"/>
    <w:rsid w:val="0080587F"/>
    <w:rsid w:val="0081206A"/>
    <w:rsid w:val="008203C2"/>
    <w:rsid w:val="00826BAD"/>
    <w:rsid w:val="008308F8"/>
    <w:rsid w:val="00833CEF"/>
    <w:rsid w:val="0083499C"/>
    <w:rsid w:val="00835265"/>
    <w:rsid w:val="00842BE6"/>
    <w:rsid w:val="00842DE7"/>
    <w:rsid w:val="00843FF3"/>
    <w:rsid w:val="00845416"/>
    <w:rsid w:val="00852266"/>
    <w:rsid w:val="008534CB"/>
    <w:rsid w:val="00853734"/>
    <w:rsid w:val="00853C06"/>
    <w:rsid w:val="00854FD5"/>
    <w:rsid w:val="00856C71"/>
    <w:rsid w:val="0086099F"/>
    <w:rsid w:val="00862EFB"/>
    <w:rsid w:val="0086345F"/>
    <w:rsid w:val="00864A2A"/>
    <w:rsid w:val="00872CBF"/>
    <w:rsid w:val="00872D5D"/>
    <w:rsid w:val="00876166"/>
    <w:rsid w:val="00880CE5"/>
    <w:rsid w:val="00882040"/>
    <w:rsid w:val="008867EE"/>
    <w:rsid w:val="00890DAD"/>
    <w:rsid w:val="008957C0"/>
    <w:rsid w:val="0089638A"/>
    <w:rsid w:val="008A0B0F"/>
    <w:rsid w:val="008A0FF0"/>
    <w:rsid w:val="008A5BE0"/>
    <w:rsid w:val="008B2475"/>
    <w:rsid w:val="008B25C1"/>
    <w:rsid w:val="008B4A32"/>
    <w:rsid w:val="008B58BB"/>
    <w:rsid w:val="008B7F10"/>
    <w:rsid w:val="008C063E"/>
    <w:rsid w:val="008D6A4C"/>
    <w:rsid w:val="008F13BD"/>
    <w:rsid w:val="008F461A"/>
    <w:rsid w:val="0090133E"/>
    <w:rsid w:val="0090143F"/>
    <w:rsid w:val="00904640"/>
    <w:rsid w:val="00904C5F"/>
    <w:rsid w:val="00920A35"/>
    <w:rsid w:val="00920A94"/>
    <w:rsid w:val="00935347"/>
    <w:rsid w:val="00936FBA"/>
    <w:rsid w:val="009405F1"/>
    <w:rsid w:val="00941643"/>
    <w:rsid w:val="00946593"/>
    <w:rsid w:val="00952B81"/>
    <w:rsid w:val="00965B7B"/>
    <w:rsid w:val="00965D6C"/>
    <w:rsid w:val="00970B31"/>
    <w:rsid w:val="00970D1D"/>
    <w:rsid w:val="00971B3B"/>
    <w:rsid w:val="0097215B"/>
    <w:rsid w:val="009800F2"/>
    <w:rsid w:val="00982549"/>
    <w:rsid w:val="00991ECF"/>
    <w:rsid w:val="0099262D"/>
    <w:rsid w:val="009A2BD2"/>
    <w:rsid w:val="009B4BC5"/>
    <w:rsid w:val="009B7741"/>
    <w:rsid w:val="009C0A95"/>
    <w:rsid w:val="009E4FD9"/>
    <w:rsid w:val="009E6956"/>
    <w:rsid w:val="009F01EF"/>
    <w:rsid w:val="009F633D"/>
    <w:rsid w:val="00A0361E"/>
    <w:rsid w:val="00A10136"/>
    <w:rsid w:val="00A1437C"/>
    <w:rsid w:val="00A162BB"/>
    <w:rsid w:val="00A27858"/>
    <w:rsid w:val="00A413FE"/>
    <w:rsid w:val="00A54870"/>
    <w:rsid w:val="00A57A32"/>
    <w:rsid w:val="00A60691"/>
    <w:rsid w:val="00A61DFB"/>
    <w:rsid w:val="00A6618D"/>
    <w:rsid w:val="00A70008"/>
    <w:rsid w:val="00A729FB"/>
    <w:rsid w:val="00A730B3"/>
    <w:rsid w:val="00A732C5"/>
    <w:rsid w:val="00A813D6"/>
    <w:rsid w:val="00A853F3"/>
    <w:rsid w:val="00A85BB0"/>
    <w:rsid w:val="00A904D2"/>
    <w:rsid w:val="00A96E9B"/>
    <w:rsid w:val="00AA05A0"/>
    <w:rsid w:val="00AB0F40"/>
    <w:rsid w:val="00AB33DA"/>
    <w:rsid w:val="00AC641A"/>
    <w:rsid w:val="00AC6BA3"/>
    <w:rsid w:val="00AD008D"/>
    <w:rsid w:val="00AD0609"/>
    <w:rsid w:val="00AD1D37"/>
    <w:rsid w:val="00AD782E"/>
    <w:rsid w:val="00AE7DFC"/>
    <w:rsid w:val="00AF7345"/>
    <w:rsid w:val="00B03742"/>
    <w:rsid w:val="00B0643D"/>
    <w:rsid w:val="00B12CB4"/>
    <w:rsid w:val="00B13DD1"/>
    <w:rsid w:val="00B14A52"/>
    <w:rsid w:val="00B20832"/>
    <w:rsid w:val="00B33793"/>
    <w:rsid w:val="00B34AD4"/>
    <w:rsid w:val="00B44E14"/>
    <w:rsid w:val="00B55CCC"/>
    <w:rsid w:val="00B55D91"/>
    <w:rsid w:val="00B57069"/>
    <w:rsid w:val="00B57A15"/>
    <w:rsid w:val="00B605E7"/>
    <w:rsid w:val="00B67587"/>
    <w:rsid w:val="00B67C80"/>
    <w:rsid w:val="00B7256C"/>
    <w:rsid w:val="00B76224"/>
    <w:rsid w:val="00B7772B"/>
    <w:rsid w:val="00B832C0"/>
    <w:rsid w:val="00B834E7"/>
    <w:rsid w:val="00B8717F"/>
    <w:rsid w:val="00B87E67"/>
    <w:rsid w:val="00B94EC8"/>
    <w:rsid w:val="00B97451"/>
    <w:rsid w:val="00BA67CB"/>
    <w:rsid w:val="00BB4AE6"/>
    <w:rsid w:val="00BB67A6"/>
    <w:rsid w:val="00BB7EBD"/>
    <w:rsid w:val="00BC121C"/>
    <w:rsid w:val="00BC15E1"/>
    <w:rsid w:val="00BC1857"/>
    <w:rsid w:val="00BC1D59"/>
    <w:rsid w:val="00BC7030"/>
    <w:rsid w:val="00BE03C5"/>
    <w:rsid w:val="00BE1DEB"/>
    <w:rsid w:val="00BE36C7"/>
    <w:rsid w:val="00BE3E19"/>
    <w:rsid w:val="00BF3633"/>
    <w:rsid w:val="00BF54A4"/>
    <w:rsid w:val="00BF7767"/>
    <w:rsid w:val="00C01CF6"/>
    <w:rsid w:val="00C0275E"/>
    <w:rsid w:val="00C05C62"/>
    <w:rsid w:val="00C077B4"/>
    <w:rsid w:val="00C11E2E"/>
    <w:rsid w:val="00C14459"/>
    <w:rsid w:val="00C145C3"/>
    <w:rsid w:val="00C16D97"/>
    <w:rsid w:val="00C32C10"/>
    <w:rsid w:val="00C32E69"/>
    <w:rsid w:val="00C36DFD"/>
    <w:rsid w:val="00C37F00"/>
    <w:rsid w:val="00C42CEA"/>
    <w:rsid w:val="00C43EF5"/>
    <w:rsid w:val="00C52004"/>
    <w:rsid w:val="00C53BA3"/>
    <w:rsid w:val="00C71310"/>
    <w:rsid w:val="00C81053"/>
    <w:rsid w:val="00C8395C"/>
    <w:rsid w:val="00C8420B"/>
    <w:rsid w:val="00C85052"/>
    <w:rsid w:val="00CA0C2C"/>
    <w:rsid w:val="00CA5510"/>
    <w:rsid w:val="00CA706A"/>
    <w:rsid w:val="00CB0E45"/>
    <w:rsid w:val="00CB248F"/>
    <w:rsid w:val="00CB4394"/>
    <w:rsid w:val="00CB5D1D"/>
    <w:rsid w:val="00CC627A"/>
    <w:rsid w:val="00CC66B2"/>
    <w:rsid w:val="00CD4899"/>
    <w:rsid w:val="00CE2D0B"/>
    <w:rsid w:val="00CE6C80"/>
    <w:rsid w:val="00CF1D4E"/>
    <w:rsid w:val="00CF59DD"/>
    <w:rsid w:val="00D0092F"/>
    <w:rsid w:val="00D225B7"/>
    <w:rsid w:val="00D24F66"/>
    <w:rsid w:val="00D32701"/>
    <w:rsid w:val="00D33FEC"/>
    <w:rsid w:val="00D3684E"/>
    <w:rsid w:val="00D42E26"/>
    <w:rsid w:val="00D46A69"/>
    <w:rsid w:val="00D50FBD"/>
    <w:rsid w:val="00D53307"/>
    <w:rsid w:val="00D5372F"/>
    <w:rsid w:val="00D64C2A"/>
    <w:rsid w:val="00D672F1"/>
    <w:rsid w:val="00D7522D"/>
    <w:rsid w:val="00D80520"/>
    <w:rsid w:val="00D810C4"/>
    <w:rsid w:val="00D816E7"/>
    <w:rsid w:val="00D817F7"/>
    <w:rsid w:val="00D82A19"/>
    <w:rsid w:val="00D9125B"/>
    <w:rsid w:val="00DA32A0"/>
    <w:rsid w:val="00DA51A5"/>
    <w:rsid w:val="00DA590C"/>
    <w:rsid w:val="00DB0142"/>
    <w:rsid w:val="00DB5B99"/>
    <w:rsid w:val="00DC0B04"/>
    <w:rsid w:val="00DD1200"/>
    <w:rsid w:val="00DE29C4"/>
    <w:rsid w:val="00DE724A"/>
    <w:rsid w:val="00DE7EB7"/>
    <w:rsid w:val="00DF3764"/>
    <w:rsid w:val="00DF3C44"/>
    <w:rsid w:val="00DF41B3"/>
    <w:rsid w:val="00DF74EE"/>
    <w:rsid w:val="00DF796A"/>
    <w:rsid w:val="00E00C1E"/>
    <w:rsid w:val="00E0471C"/>
    <w:rsid w:val="00E1228B"/>
    <w:rsid w:val="00E13593"/>
    <w:rsid w:val="00E1586D"/>
    <w:rsid w:val="00E167CF"/>
    <w:rsid w:val="00E205B2"/>
    <w:rsid w:val="00E27506"/>
    <w:rsid w:val="00E275A6"/>
    <w:rsid w:val="00E317DE"/>
    <w:rsid w:val="00E32C38"/>
    <w:rsid w:val="00E337C6"/>
    <w:rsid w:val="00E47FF1"/>
    <w:rsid w:val="00E514F6"/>
    <w:rsid w:val="00E53920"/>
    <w:rsid w:val="00E54DD7"/>
    <w:rsid w:val="00E56B76"/>
    <w:rsid w:val="00E57123"/>
    <w:rsid w:val="00E6210E"/>
    <w:rsid w:val="00E6468F"/>
    <w:rsid w:val="00E76298"/>
    <w:rsid w:val="00E766B4"/>
    <w:rsid w:val="00E77DA0"/>
    <w:rsid w:val="00E805A5"/>
    <w:rsid w:val="00E87AA2"/>
    <w:rsid w:val="00E92211"/>
    <w:rsid w:val="00E93C2D"/>
    <w:rsid w:val="00E93E2B"/>
    <w:rsid w:val="00E95061"/>
    <w:rsid w:val="00E96670"/>
    <w:rsid w:val="00EA05B8"/>
    <w:rsid w:val="00EA2CA9"/>
    <w:rsid w:val="00EA42EF"/>
    <w:rsid w:val="00EB144E"/>
    <w:rsid w:val="00EB2760"/>
    <w:rsid w:val="00EB50BA"/>
    <w:rsid w:val="00EC3C18"/>
    <w:rsid w:val="00EC7D35"/>
    <w:rsid w:val="00ED6094"/>
    <w:rsid w:val="00EE252A"/>
    <w:rsid w:val="00EE5F7A"/>
    <w:rsid w:val="00EF636C"/>
    <w:rsid w:val="00EF692B"/>
    <w:rsid w:val="00F10319"/>
    <w:rsid w:val="00F16FA4"/>
    <w:rsid w:val="00F173FD"/>
    <w:rsid w:val="00F17C4A"/>
    <w:rsid w:val="00F303F3"/>
    <w:rsid w:val="00F35106"/>
    <w:rsid w:val="00F3587F"/>
    <w:rsid w:val="00F35D6C"/>
    <w:rsid w:val="00F43530"/>
    <w:rsid w:val="00F4376A"/>
    <w:rsid w:val="00F45819"/>
    <w:rsid w:val="00F47A36"/>
    <w:rsid w:val="00F61F9A"/>
    <w:rsid w:val="00F62872"/>
    <w:rsid w:val="00F719A6"/>
    <w:rsid w:val="00F71AB8"/>
    <w:rsid w:val="00F75A97"/>
    <w:rsid w:val="00F760FC"/>
    <w:rsid w:val="00F804B4"/>
    <w:rsid w:val="00F85AA1"/>
    <w:rsid w:val="00F8741C"/>
    <w:rsid w:val="00F905D0"/>
    <w:rsid w:val="00F9325F"/>
    <w:rsid w:val="00F936E0"/>
    <w:rsid w:val="00FA0971"/>
    <w:rsid w:val="00FA3A5C"/>
    <w:rsid w:val="00FA41BF"/>
    <w:rsid w:val="00FB07E8"/>
    <w:rsid w:val="00FB0C5A"/>
    <w:rsid w:val="00FB3659"/>
    <w:rsid w:val="00FB590B"/>
    <w:rsid w:val="00FB78E7"/>
    <w:rsid w:val="00FC061E"/>
    <w:rsid w:val="00FC0E2D"/>
    <w:rsid w:val="00FC32B6"/>
    <w:rsid w:val="00FC59E0"/>
    <w:rsid w:val="00FD6FEF"/>
    <w:rsid w:val="00FE15E5"/>
    <w:rsid w:val="00FE27D9"/>
    <w:rsid w:val="00FF0449"/>
    <w:rsid w:val="00FF0645"/>
    <w:rsid w:val="00FF4442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9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93010"/>
    <w:pPr>
      <w:keepNext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010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E3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E3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D5DB5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D5DB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D5D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6C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9301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3010"/>
    <w:rPr>
      <w:rFonts w:ascii="Calibri" w:eastAsia="Calibri" w:hAnsi="Calibri" w:cs="Times New Roman"/>
    </w:rPr>
  </w:style>
  <w:style w:type="paragraph" w:styleId="a8">
    <w:name w:val="Body Text First Indent"/>
    <w:basedOn w:val="a6"/>
    <w:link w:val="a9"/>
    <w:rsid w:val="0069301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Красная строка Знак"/>
    <w:basedOn w:val="a7"/>
    <w:link w:val="a8"/>
    <w:rsid w:val="00693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9301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93010"/>
    <w:rPr>
      <w:rFonts w:ascii="Calibri" w:eastAsia="Calibri" w:hAnsi="Calibri" w:cs="Times New Roman"/>
    </w:rPr>
  </w:style>
  <w:style w:type="paragraph" w:styleId="21">
    <w:name w:val="Body Text First Indent 2"/>
    <w:basedOn w:val="aa"/>
    <w:link w:val="22"/>
    <w:rsid w:val="00693010"/>
    <w:pPr>
      <w:spacing w:line="240" w:lineRule="auto"/>
      <w:ind w:firstLine="21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2">
    <w:name w:val="Красная строка 2 Знак"/>
    <w:basedOn w:val="ab"/>
    <w:link w:val="21"/>
    <w:rsid w:val="0069301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No Spacing"/>
    <w:link w:val="ad"/>
    <w:uiPriority w:val="1"/>
    <w:qFormat/>
    <w:rsid w:val="002D17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2D1702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rsid w:val="002D1702"/>
    <w:rPr>
      <w:color w:val="0000FF"/>
      <w:u w:val="single"/>
    </w:rPr>
  </w:style>
  <w:style w:type="paragraph" w:customStyle="1" w:styleId="ConsPlusNonformat">
    <w:name w:val="ConsPlusNonformat"/>
    <w:uiPriority w:val="99"/>
    <w:rsid w:val="000323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5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uiPriority w:val="99"/>
    <w:qFormat/>
    <w:rsid w:val="00632483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10"/>
    <w:uiPriority w:val="99"/>
    <w:locked/>
    <w:rsid w:val="00632483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10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f"/>
    <w:uiPriority w:val="59"/>
    <w:rsid w:val="001C55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Title"/>
    <w:basedOn w:val="a"/>
    <w:link w:val="af1"/>
    <w:uiPriority w:val="10"/>
    <w:qFormat/>
    <w:rsid w:val="000870AD"/>
    <w:pPr>
      <w:spacing w:after="0" w:line="240" w:lineRule="auto"/>
      <w:jc w:val="center"/>
    </w:pPr>
    <w:rPr>
      <w:rFonts w:ascii="Times New Roman" w:eastAsia="Times New Roman" w:hAnsi="Times New Roman"/>
      <w:b/>
      <w:sz w:val="25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0870AD"/>
    <w:rPr>
      <w:rFonts w:ascii="Times New Roman" w:eastAsia="Times New Roman" w:hAnsi="Times New Roman" w:cs="Times New Roman"/>
      <w:b/>
      <w:sz w:val="25"/>
      <w:szCs w:val="20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FC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C061E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FC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C061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27088"/>
    <w:rPr>
      <w:rFonts w:ascii="Calibri" w:eastAsia="Times New Roman" w:hAnsi="Calibri" w:cs="Calibri"/>
      <w:szCs w:val="20"/>
      <w:lang w:eastAsia="ru-RU"/>
    </w:rPr>
  </w:style>
  <w:style w:type="table" w:customStyle="1" w:styleId="23">
    <w:name w:val="Сетка таблицы2"/>
    <w:basedOn w:val="a1"/>
    <w:next w:val="af"/>
    <w:uiPriority w:val="59"/>
    <w:rsid w:val="00E56B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0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2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0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2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7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6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7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8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2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0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4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6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53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1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48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6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5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38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8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6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8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3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73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0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ok.ru/group/548504203428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04ABD9CBBAD8680DB62E973B08E169274094AA70CBA5A31F3FA8DE2300C35DF0B0B736BFF901B1D7B21B4DAE22F017FAD71AE1D9026CC1J65CJ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(чел.)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/>
          </c:spPr>
          <c:invertIfNegative val="0"/>
          <c:dLbls>
            <c:dLbl>
              <c:idx val="0"/>
              <c:layout>
                <c:manualLayout>
                  <c:x val="6.9444444444444441E-3"/>
                  <c:y val="-1.9816656914374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DCF-4904-9407-4DE424382583}"/>
                </c:ext>
              </c:extLst>
            </c:dLbl>
            <c:dLbl>
              <c:idx val="1"/>
              <c:layout>
                <c:manualLayout>
                  <c:x val="1.1371432477504365E-2"/>
                  <c:y val="-3.5600121501228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DCF-4904-9407-4DE424382583}"/>
                </c:ext>
              </c:extLst>
            </c:dLbl>
            <c:dLbl>
              <c:idx val="2"/>
              <c:layout>
                <c:manualLayout>
                  <c:x val="1.3686233817554469E-2"/>
                  <c:y val="-2.7673342987770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DCF-4904-9407-4DE424382583}"/>
                </c:ext>
              </c:extLst>
            </c:dLbl>
            <c:dLbl>
              <c:idx val="3"/>
              <c:layout>
                <c:manualLayout>
                  <c:x val="1.1168858254758208E-2"/>
                  <c:y val="-2.6101845746607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DCF-4904-9407-4DE4243825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t" anchorCtr="1"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_(* #,##0_);_(* \(#,##0\);_(* "-"_);_(@_)</c:formatCode>
                <c:ptCount val="4"/>
                <c:pt idx="0">
                  <c:v>20022</c:v>
                </c:pt>
                <c:pt idx="1">
                  <c:v>19903</c:v>
                </c:pt>
                <c:pt idx="2">
                  <c:v>19706</c:v>
                </c:pt>
                <c:pt idx="3">
                  <c:v>19440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DCF-4904-9407-4DE424382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8137216"/>
        <c:axId val="98138752"/>
        <c:axId val="0"/>
      </c:bar3DChart>
      <c:catAx>
        <c:axId val="9813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138752"/>
        <c:crosses val="autoZero"/>
        <c:auto val="1"/>
        <c:lblAlgn val="ctr"/>
        <c:lblOffset val="100"/>
        <c:noMultiLvlLbl val="0"/>
      </c:catAx>
      <c:valAx>
        <c:axId val="98138752"/>
        <c:scaling>
          <c:orientation val="minMax"/>
          <c:max val="21000"/>
        </c:scaling>
        <c:delete val="0"/>
        <c:axPos val="l"/>
        <c:majorGridlines>
          <c:spPr>
            <a:ln>
              <a:noFill/>
            </a:ln>
          </c:spPr>
        </c:majorGridlines>
        <c:numFmt formatCode="_(* #,##0_);_(* \(#,##0\);_(* &quot;-&quot;_);_(@_)" sourceLinked="1"/>
        <c:majorTickMark val="out"/>
        <c:minorTickMark val="none"/>
        <c:tickLblPos val="nextTo"/>
        <c:spPr>
          <a:ln>
            <a:gradFill>
              <a:gsLst>
                <a:gs pos="0">
                  <a:srgbClr val="FFEFD1"/>
                </a:gs>
                <a:gs pos="53000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</a:ln>
        </c:spPr>
        <c:crossAx val="98137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220</c:v>
                </c:pt>
                <c:pt idx="1">
                  <c:v>174</c:v>
                </c:pt>
                <c:pt idx="2">
                  <c:v>194</c:v>
                </c:pt>
                <c:pt idx="3">
                  <c:v>172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F51-440F-8142-A7987304CB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anchor="ctr" anchorCtr="0"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182</c:v>
                </c:pt>
                <c:pt idx="1">
                  <c:v>197</c:v>
                </c:pt>
                <c:pt idx="2">
                  <c:v>223</c:v>
                </c:pt>
                <c:pt idx="3">
                  <c:v>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F51-440F-8142-A7987304C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397440"/>
        <c:axId val="100398976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Естественная убыль населения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diamond"/>
            <c:size val="10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9351851851851853E-2"/>
                  <c:y val="-6.3492063492063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F51-440F-8142-A7987304CBAF}"/>
                </c:ext>
              </c:extLst>
            </c:dLbl>
            <c:dLbl>
              <c:idx val="1"/>
              <c:layout>
                <c:manualLayout>
                  <c:x val="-4.3981481481481483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F51-440F-8142-A7987304CBAF}"/>
                </c:ext>
              </c:extLst>
            </c:dLbl>
            <c:dLbl>
              <c:idx val="2"/>
              <c:layout>
                <c:manualLayout>
                  <c:x val="-4.1666666666666755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F51-440F-8142-A7987304CBAF}"/>
                </c:ext>
              </c:extLst>
            </c:dLbl>
            <c:dLbl>
              <c:idx val="3"/>
              <c:layout>
                <c:manualLayout>
                  <c:x val="-3.9351851851851853E-2"/>
                  <c:y val="-5.95238095238094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F51-440F-8142-A7987304CB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</c:v>
                </c:pt>
                <c:pt idx="1">
                  <c:v>23</c:v>
                </c:pt>
                <c:pt idx="2">
                  <c:v>29</c:v>
                </c:pt>
                <c:pt idx="3">
                  <c:v>45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6F51-440F-8142-A7987304C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414592"/>
        <c:axId val="100400512"/>
      </c:lineChart>
      <c:catAx>
        <c:axId val="10039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0398976"/>
        <c:crosses val="autoZero"/>
        <c:auto val="1"/>
        <c:lblAlgn val="ctr"/>
        <c:lblOffset val="100"/>
        <c:noMultiLvlLbl val="0"/>
      </c:catAx>
      <c:valAx>
        <c:axId val="100398976"/>
        <c:scaling>
          <c:orientation val="minMax"/>
          <c:max val="4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0397440"/>
        <c:crosses val="autoZero"/>
        <c:crossBetween val="between"/>
      </c:valAx>
      <c:valAx>
        <c:axId val="100400512"/>
        <c:scaling>
          <c:orientation val="minMax"/>
          <c:max val="85"/>
          <c:min val="10"/>
        </c:scaling>
        <c:delete val="0"/>
        <c:axPos val="r"/>
        <c:numFmt formatCode="General" sourceLinked="1"/>
        <c:majorTickMark val="out"/>
        <c:minorTickMark val="none"/>
        <c:tickLblPos val="nextTo"/>
        <c:crossAx val="100414592"/>
        <c:crosses val="max"/>
        <c:crossBetween val="between"/>
      </c:valAx>
      <c:catAx>
        <c:axId val="100414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0400512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 baseline="0"/>
            </a:pPr>
            <a:r>
              <a:rPr lang="ru-RU" sz="1200" baseline="0" dirty="0" smtClean="0"/>
              <a:t>Миграционный прирост  (отток)</a:t>
            </a:r>
            <a:endParaRPr lang="ru-RU" sz="1200" baseline="0" dirty="0"/>
          </a:p>
        </c:rich>
      </c:tx>
      <c:layout>
        <c:manualLayout>
          <c:xMode val="edge"/>
          <c:yMode val="edge"/>
          <c:x val="0.29957271706476402"/>
          <c:y val="2.6662249837093085E-3"/>
        </c:manualLayout>
      </c:layout>
      <c:overlay val="0"/>
      <c:spPr>
        <a:noFill/>
        <a:ln w="2251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638101023316667"/>
          <c:y val="0.1522460861322753"/>
          <c:w val="0.7106741573033899"/>
          <c:h val="0.74481327800830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отгруженных товаров собственного производства, выполненных работ и услуг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22510">
              <a:noFill/>
            </a:ln>
            <a:scene3d>
              <a:camera prst="orthographicFront"/>
              <a:lightRig rig="threePt" dir="t"/>
            </a:scene3d>
            <a:sp3d prstMaterial="matte">
              <a:bevelT/>
            </a:sp3d>
          </c:spPr>
          <c:invertIfNegative val="0"/>
          <c:dLbls>
            <c:dLbl>
              <c:idx val="0"/>
              <c:layout>
                <c:manualLayout>
                  <c:x val="0"/>
                  <c:y val="5.50724801728187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321-47C8-A30C-74227E2FFAF6}"/>
                </c:ext>
              </c:extLst>
            </c:dLbl>
            <c:dLbl>
              <c:idx val="1"/>
              <c:layout>
                <c:manualLayout>
                  <c:x val="0"/>
                  <c:y val="1.1023186417050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82E-46B0-A7F7-F6D4988CFA21}"/>
                </c:ext>
              </c:extLst>
            </c:dLbl>
            <c:dLbl>
              <c:idx val="2"/>
              <c:layout>
                <c:manualLayout>
                  <c:x val="0"/>
                  <c:y val="2.2138684038270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82E-46B0-A7F7-F6D4988CFA21}"/>
                </c:ext>
              </c:extLst>
            </c:dLbl>
            <c:numFmt formatCode="0" sourceLinked="0"/>
            <c:spPr>
              <a:noFill/>
              <a:ln w="22510">
                <a:noFill/>
              </a:ln>
            </c:spPr>
            <c:txPr>
              <a:bodyPr/>
              <a:lstStyle/>
              <a:p>
                <a:pPr>
                  <a:defRPr sz="1200" b="1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300</c:v>
                </c:pt>
                <c:pt idx="1">
                  <c:v>-85</c:v>
                </c:pt>
                <c:pt idx="2">
                  <c:v>-166</c:v>
                </c:pt>
                <c:pt idx="3">
                  <c:v>-167</c:v>
                </c:pt>
                <c:pt idx="4">
                  <c:v>-287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2E-46B0-A7F7-F6D4988CFA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8"/>
        <c:axId val="100936704"/>
        <c:axId val="100946688"/>
      </c:barChart>
      <c:catAx>
        <c:axId val="10093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946688"/>
        <c:crosses val="autoZero"/>
        <c:auto val="1"/>
        <c:lblAlgn val="ctr"/>
        <c:lblOffset val="100"/>
        <c:noMultiLvlLbl val="0"/>
      </c:catAx>
      <c:valAx>
        <c:axId val="100946688"/>
        <c:scaling>
          <c:orientation val="minMax"/>
          <c:max val="400"/>
          <c:min val="-29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6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dirty="0" smtClean="0"/>
                  <a:t>человек</a:t>
                </a:r>
                <a:endParaRPr lang="ru-RU" dirty="0"/>
              </a:p>
            </c:rich>
          </c:tx>
          <c:layout/>
          <c:overlay val="0"/>
          <c:spPr>
            <a:noFill/>
            <a:ln w="22510"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0936704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63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1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62E-2"/>
          <c:y val="2.7777777777777776E-2"/>
          <c:w val="0.94907407407407407"/>
          <c:h val="0.46396669166354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79-473A-96C9-5290821AC475}"/>
              </c:ext>
            </c:extLst>
          </c:dPt>
          <c:dPt>
            <c:idx val="1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0679-473A-96C9-5290821AC475}"/>
              </c:ext>
            </c:extLst>
          </c:dPt>
          <c:dPt>
            <c:idx val="3"/>
            <c:bubble3D val="0"/>
            <c:explosion val="24"/>
            <c:extLst xmlns:c16r2="http://schemas.microsoft.com/office/drawing/2015/06/chart">
              <c:ext xmlns:c16="http://schemas.microsoft.com/office/drawing/2014/chart" uri="{C3380CC4-5D6E-409C-BE32-E72D297353CC}">
                <c16:uniqueId val="{00000003-0679-473A-96C9-5290821AC475}"/>
              </c:ext>
            </c:extLst>
          </c:dPt>
          <c:dLbls>
            <c:dLbl>
              <c:idx val="0"/>
              <c:layout>
                <c:manualLayout>
                  <c:x val="-6.3135662729658787E-2"/>
                  <c:y val="0.16219816272965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679-473A-96C9-5290821AC475}"/>
                </c:ext>
              </c:extLst>
            </c:dLbl>
            <c:dLbl>
              <c:idx val="1"/>
              <c:layout>
                <c:manualLayout>
                  <c:x val="0.12037602070574512"/>
                  <c:y val="3.038620172478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679-473A-96C9-5290821AC475}"/>
                </c:ext>
              </c:extLst>
            </c:dLbl>
            <c:dLbl>
              <c:idx val="2"/>
              <c:layout>
                <c:manualLayout>
                  <c:x val="1.3203922426363372E-2"/>
                  <c:y val="4.04124484439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679-473A-96C9-5290821AC475}"/>
                </c:ext>
              </c:extLst>
            </c:dLbl>
            <c:dLbl>
              <c:idx val="3"/>
              <c:layout>
                <c:manualLayout>
                  <c:x val="-2.6713145231846019E-2"/>
                  <c:y val="-6.2215973003374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679-473A-96C9-5290821AC4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водоотведение, организация сборов и утилизация отходов, деятельность по ликвидации загрязнений</c:v>
                </c:pt>
              </c:strCache>
            </c:strRef>
          </c:cat>
          <c:val>
            <c:numRef>
              <c:f>Лист1!$B$2:$B$5</c:f>
              <c:numCache>
                <c:formatCode>_-* #,##0.0\ _₽_-;\-* #,##0.0\ _₽_-;_-* "-"?\ _₽_-;_-@_-</c:formatCode>
                <c:ptCount val="4"/>
                <c:pt idx="0">
                  <c:v>619888</c:v>
                </c:pt>
                <c:pt idx="1">
                  <c:v>3495.8</c:v>
                </c:pt>
                <c:pt idx="2">
                  <c:v>2854.6</c:v>
                </c:pt>
                <c:pt idx="3">
                  <c:v>51.4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679-473A-96C9-5290821AC4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52066331638815866"/>
          <c:w val="0.99785785374090341"/>
          <c:h val="0.479336804134996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523183281762122"/>
          <c:y val="0.17054415842108925"/>
          <c:w val="0.30676157127265752"/>
          <c:h val="0.650028322606077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>
              <a:solidFill>
                <a:srgbClr val="C00000"/>
              </a:solidFill>
            </a:ln>
          </c:spPr>
          <c:marker>
            <c:symbol val="diamond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4.742384406088062E-2"/>
                  <c:y val="5.0871044358832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519-4EB4-B514-A4985371B339}"/>
                </c:ext>
              </c:extLst>
            </c:dLbl>
            <c:dLbl>
              <c:idx val="1"/>
              <c:layout>
                <c:manualLayout>
                  <c:x val="2.1606334534270171E-2"/>
                  <c:y val="1.7006611328428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519-4EB4-B514-A4985371B339}"/>
                </c:ext>
              </c:extLst>
            </c:dLbl>
            <c:dLbl>
              <c:idx val="2"/>
              <c:layout>
                <c:manualLayout>
                  <c:x val="1.9400563181380729E-2"/>
                  <c:y val="-4.761907916748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519-4EB4-B514-A4985371B339}"/>
                </c:ext>
              </c:extLst>
            </c:dLbl>
            <c:dLbl>
              <c:idx val="4"/>
              <c:layout>
                <c:manualLayout>
                  <c:x val="-1.0778184953653883E-2"/>
                  <c:y val="8.4139671855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535-4466-87F6-8B0E875EF033}"/>
                </c:ext>
              </c:extLst>
            </c:dLbl>
            <c:dLbl>
              <c:idx val="5"/>
              <c:layout>
                <c:manualLayout>
                  <c:x val="-2.1560484287290176E-2"/>
                  <c:y val="2.5241809651731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535-4466-87F6-8B0E875EF0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добыча сырой нефти и природного газа</c:v>
                </c:pt>
                <c:pt idx="1">
                  <c:v>государственное управление и обеспечение военной безопасности; социальное обеспечение</c:v>
                </c:pt>
                <c:pt idx="2">
                  <c:v>строительство</c:v>
                </c:pt>
                <c:pt idx="3">
                  <c:v>образование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Лист1!$B$2:$B$7</c:f>
              <c:numCache>
                <c:formatCode>_(* #,##0_);_(* \(#,##0\);_(* "-"_);_(@_)</c:formatCode>
                <c:ptCount val="6"/>
                <c:pt idx="0">
                  <c:v>102641</c:v>
                </c:pt>
                <c:pt idx="1">
                  <c:v>61928</c:v>
                </c:pt>
                <c:pt idx="2">
                  <c:v>89507</c:v>
                </c:pt>
                <c:pt idx="3">
                  <c:v>64599</c:v>
                </c:pt>
                <c:pt idx="4">
                  <c:v>61928</c:v>
                </c:pt>
                <c:pt idx="5">
                  <c:v>68462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519-4EB4-B514-A4985371B3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116864"/>
        <c:axId val="110118400"/>
      </c:radarChart>
      <c:catAx>
        <c:axId val="1101168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0118400"/>
        <c:crosses val="autoZero"/>
        <c:auto val="1"/>
        <c:lblAlgn val="ctr"/>
        <c:lblOffset val="100"/>
        <c:noMultiLvlLbl val="0"/>
      </c:catAx>
      <c:valAx>
        <c:axId val="110118400"/>
        <c:scaling>
          <c:orientation val="minMax"/>
        </c:scaling>
        <c:delete val="1"/>
        <c:axPos val="l"/>
        <c:majorGridlines>
          <c:spPr>
            <a:ln>
              <a:prstDash val="sysDot"/>
            </a:ln>
          </c:spPr>
        </c:majorGridlines>
        <c:numFmt formatCode="_(* #,##0_);_(* \(#,##0\);_(* &quot;-&quot;_);_(@_)" sourceLinked="1"/>
        <c:majorTickMark val="cross"/>
        <c:minorTickMark val="none"/>
        <c:tickLblPos val="nextTo"/>
        <c:crossAx val="110116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42CEF-2F17-4275-8AD5-5BA7794B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41</Pages>
  <Words>11558</Words>
  <Characters>65882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Татьяна Алексеевна</dc:creator>
  <cp:lastModifiedBy>Горень Т.Н.</cp:lastModifiedBy>
  <cp:revision>350</cp:revision>
  <cp:lastPrinted>2022-04-29T06:27:00Z</cp:lastPrinted>
  <dcterms:created xsi:type="dcterms:W3CDTF">2011-03-02T06:36:00Z</dcterms:created>
  <dcterms:modified xsi:type="dcterms:W3CDTF">2022-04-29T06:27:00Z</dcterms:modified>
</cp:coreProperties>
</file>