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BB" w:rsidRDefault="008B091F">
      <w:pPr>
        <w:pStyle w:val="afa"/>
        <w:jc w:val="right"/>
        <w:rPr>
          <w:bCs/>
          <w:sz w:val="22"/>
          <w:szCs w:val="22"/>
        </w:rPr>
      </w:pPr>
      <w:r>
        <w:rPr>
          <w:sz w:val="24"/>
        </w:rPr>
        <w:t>Приложение</w:t>
      </w:r>
      <w:r>
        <w:rPr>
          <w:bCs/>
          <w:sz w:val="24"/>
        </w:rPr>
        <w:t xml:space="preserve"> </w:t>
      </w:r>
      <w:r>
        <w:rPr>
          <w:bCs/>
          <w:sz w:val="22"/>
          <w:szCs w:val="22"/>
        </w:rPr>
        <w:t>к письму</w:t>
      </w:r>
    </w:p>
    <w:p w:rsidR="000701BB" w:rsidRDefault="008B091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исх.№_________ от «___»_______2023 г.</w:t>
      </w:r>
    </w:p>
    <w:p w:rsidR="000701BB" w:rsidRDefault="000701BB">
      <w:pPr>
        <w:pStyle w:val="afa"/>
        <w:jc w:val="right"/>
        <w:rPr>
          <w:b/>
          <w:sz w:val="20"/>
          <w:szCs w:val="20"/>
        </w:rPr>
      </w:pPr>
    </w:p>
    <w:p w:rsidR="000701BB" w:rsidRDefault="008B091F">
      <w:pPr>
        <w:pStyle w:val="afa"/>
        <w:jc w:val="center"/>
        <w:rPr>
          <w:b/>
        </w:rPr>
      </w:pPr>
      <w:bookmarkStart w:id="0" w:name="_GoBack"/>
      <w:r>
        <w:rPr>
          <w:b/>
        </w:rPr>
        <w:t xml:space="preserve">Информация о системе обучения по охране труда и </w:t>
      </w:r>
    </w:p>
    <w:p w:rsidR="000701BB" w:rsidRDefault="008B091F">
      <w:pPr>
        <w:pStyle w:val="afa"/>
        <w:jc w:val="center"/>
        <w:rPr>
          <w:b/>
        </w:rPr>
      </w:pPr>
      <w:r>
        <w:rPr>
          <w:b/>
        </w:rPr>
        <w:t xml:space="preserve">проверке знаний требований  охраны  труда руководителей и специалистов организаций  в 3 квартале 2023 года  </w:t>
      </w:r>
    </w:p>
    <w:p w:rsidR="000701BB" w:rsidRDefault="008B091F">
      <w:pPr>
        <w:pStyle w:val="afa"/>
        <w:jc w:val="center"/>
        <w:rPr>
          <w:b/>
        </w:rPr>
      </w:pPr>
      <w:r>
        <w:rPr>
          <w:b/>
        </w:rPr>
        <w:t xml:space="preserve">на территории Ханты-Мансийского </w:t>
      </w:r>
      <w:r>
        <w:rPr>
          <w:b/>
        </w:rPr>
        <w:t>автономного округа – Югры</w:t>
      </w:r>
      <w:bookmarkEnd w:id="0"/>
    </w:p>
    <w:p w:rsidR="000701BB" w:rsidRDefault="000701BB">
      <w:pPr>
        <w:pStyle w:val="afa"/>
        <w:spacing w:line="440" w:lineRule="exact"/>
      </w:pPr>
    </w:p>
    <w:p w:rsidR="000701BB" w:rsidRDefault="008B091F">
      <w:pPr>
        <w:pStyle w:val="afa"/>
        <w:spacing w:line="360" w:lineRule="auto"/>
        <w:ind w:firstLine="709"/>
        <w:rPr>
          <w:szCs w:val="28"/>
        </w:rPr>
      </w:pPr>
      <w:r>
        <w:rPr>
          <w:szCs w:val="28"/>
          <w:u w:val="single"/>
        </w:rPr>
        <w:t>Обучение по охране труда</w:t>
      </w:r>
      <w:r>
        <w:rPr>
          <w:szCs w:val="28"/>
        </w:rPr>
        <w:t xml:space="preserve"> – основная составляющая деятельности, направленная на обеспечение здоровых и безопасных условий труда. Обучение является одним из важнейших превентивных элементов управления профессиональными рисками. </w:t>
      </w:r>
    </w:p>
    <w:p w:rsidR="000701BB" w:rsidRDefault="008B091F">
      <w:pPr>
        <w:pStyle w:val="afa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>статье 219 Трудового кодекса Российской Федерации установлено, что все работники, в том числе руководители предприятий и организаций, а также работодатели – индивидуальные предприниматели обязаны проходить обучение по охране труда и проверку знаний требова</w:t>
      </w:r>
      <w:r>
        <w:rPr>
          <w:szCs w:val="28"/>
        </w:rPr>
        <w:t xml:space="preserve">ний по охране труда в порядке, установленном Правительством Российской Федерации. </w:t>
      </w:r>
    </w:p>
    <w:p w:rsidR="000701BB" w:rsidRDefault="008B0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 обучения по охране труда  и выполнение утвержденных программ по охране труда несет обучающая организация и работодатель. В настоящее время нормат</w:t>
      </w:r>
      <w:r>
        <w:rPr>
          <w:sz w:val="28"/>
          <w:szCs w:val="28"/>
        </w:rPr>
        <w:t>ивным правовым актом, регулирующим вопросы порядка обучения по охране труда, является постановление Правительства Российской Федерации от 24.12.2021 года                   № 2464 «О порядке обучения по охране труда и проверки знания требований охраны труда</w:t>
      </w:r>
      <w:r>
        <w:rPr>
          <w:sz w:val="28"/>
          <w:szCs w:val="28"/>
        </w:rPr>
        <w:t>».</w:t>
      </w:r>
    </w:p>
    <w:p w:rsidR="000701BB" w:rsidRDefault="008B091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Обучение осуществляется в ходе проведения: </w:t>
      </w:r>
    </w:p>
    <w:p w:rsidR="000701BB" w:rsidRDefault="008B091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инструктажей по охране труда;</w:t>
      </w:r>
    </w:p>
    <w:p w:rsidR="000701BB" w:rsidRDefault="008B091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стажировки на рабочем месте;</w:t>
      </w:r>
    </w:p>
    <w:p w:rsidR="000701BB" w:rsidRDefault="008B091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обучения по оказанию первой помощи пострадавшим;</w:t>
      </w:r>
    </w:p>
    <w:p w:rsidR="000701BB" w:rsidRDefault="008B091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обучения по использованию (применению) средств индивидуальной защиты;</w:t>
      </w:r>
    </w:p>
    <w:p w:rsidR="000701BB" w:rsidRDefault="008B091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обучения по охране труда у рабо</w:t>
      </w:r>
      <w:r>
        <w:rPr>
          <w:sz w:val="28"/>
          <w:szCs w:val="28"/>
          <w:shd w:val="clear" w:color="auto" w:fill="FFFFFF"/>
        </w:rPr>
        <w:t xml:space="preserve">тодателя, в том числе обучения безопасным методам и приемам выполнения работ, или в организации, у </w:t>
      </w:r>
      <w:r>
        <w:rPr>
          <w:sz w:val="28"/>
          <w:szCs w:val="28"/>
          <w:shd w:val="clear" w:color="auto" w:fill="FFFFFF"/>
        </w:rPr>
        <w:lastRenderedPageBreak/>
        <w:t>индивидуального предпринимателя, оказывающих услуги по проведению обучения по охране труда.</w:t>
      </w:r>
    </w:p>
    <w:p w:rsidR="000701BB" w:rsidRDefault="008B0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требованиям охраны труда проводится в соответствии с про</w:t>
      </w:r>
      <w:r>
        <w:rPr>
          <w:sz w:val="28"/>
          <w:szCs w:val="28"/>
        </w:rPr>
        <w:t>граммами обучения, содержащими информацию о темах обучения, практических занятиях, формах обучения, формах проведения проверки знания требований охраны труда, а также о количестве часов, отведенных на изучение каждой темы, выполнение практических занятий и</w:t>
      </w:r>
      <w:r>
        <w:rPr>
          <w:sz w:val="28"/>
          <w:szCs w:val="28"/>
        </w:rPr>
        <w:t xml:space="preserve"> на проверку знания требований охраны труда. </w:t>
      </w:r>
    </w:p>
    <w:p w:rsidR="000701BB" w:rsidRDefault="008B0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Обучающим организациям особенно важно обеспечить баланс между постоянным ростом количества обучаемых и качеством образовательных услуг. Одним из важных моментов в решении этой задачи является аккредитация орган</w:t>
      </w:r>
      <w:r>
        <w:rPr>
          <w:sz w:val="28"/>
          <w:szCs w:val="28"/>
        </w:rPr>
        <w:t>изаций и соответствие требованиям, установленным постановлением Правительства Российской Федерации от 16.12.2021 года № 2334 «Об утверждении Правил аккредитации организаций, индивидуальных предпринимателей, оказывающих услуги в области охраны труда, и треб</w:t>
      </w:r>
      <w:r>
        <w:rPr>
          <w:sz w:val="28"/>
          <w:szCs w:val="28"/>
        </w:rPr>
        <w:t xml:space="preserve">ований к организациям и индивидуальным предпринимателям, оказывающим услуги в области охраны труда».  </w:t>
      </w:r>
    </w:p>
    <w:p w:rsidR="000701BB" w:rsidRDefault="008B091F">
      <w:pPr>
        <w:pStyle w:val="afa"/>
        <w:spacing w:line="360" w:lineRule="auto"/>
        <w:ind w:firstLine="709"/>
      </w:pPr>
      <w:r>
        <w:t>В 3 квартале 2023 года  в обучающих организациях, расположенных на территории автономного округа, прошли обучение и проверку знаний по охране труда 13 66</w:t>
      </w:r>
      <w:r>
        <w:t xml:space="preserve">2 </w:t>
      </w:r>
      <w:r>
        <w:rPr>
          <w:i/>
        </w:rPr>
        <w:t>(в 3 квартале 2022 года – 9 391 человек)</w:t>
      </w:r>
      <w:r>
        <w:t xml:space="preserve"> руководителя и специалиста организаций, из них обучено руководителей – 3 053  человека </w:t>
      </w:r>
      <w:r>
        <w:rPr>
          <w:i/>
        </w:rPr>
        <w:t>(в 3 квартале 2022 года – 2 633 человека)</w:t>
      </w:r>
      <w:r>
        <w:t xml:space="preserve">, специалистов – 10 609 человек </w:t>
      </w:r>
      <w:r>
        <w:rPr>
          <w:i/>
        </w:rPr>
        <w:t>(в 3 квартале 2022 года – 6 758 человек)</w:t>
      </w:r>
      <w:r>
        <w:t xml:space="preserve">. </w:t>
      </w:r>
    </w:p>
    <w:p w:rsidR="000701BB" w:rsidRDefault="008B091F">
      <w:pPr>
        <w:pStyle w:val="afa"/>
        <w:spacing w:line="360" w:lineRule="auto"/>
        <w:ind w:firstLine="709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В </w:t>
      </w:r>
      <w:r>
        <w:rPr>
          <w:color w:val="000000"/>
          <w:highlight w:val="white"/>
          <w:lang w:val="en-US"/>
        </w:rPr>
        <w:t>III</w:t>
      </w:r>
      <w:r>
        <w:rPr>
          <w:color w:val="000000"/>
          <w:highlight w:val="white"/>
        </w:rPr>
        <w:t xml:space="preserve"> квар</w:t>
      </w:r>
      <w:r>
        <w:rPr>
          <w:color w:val="000000"/>
          <w:highlight w:val="white"/>
        </w:rPr>
        <w:t>тале 2023 года 5 организаций прошли аккредитацию в Минтруде России и были внесены в реестр аккредитованных организаций, оказывающих услуги в области охраны труда по обучению работодателей и работников вопросам охраны труда.</w:t>
      </w:r>
    </w:p>
    <w:p w:rsidR="000701BB" w:rsidRDefault="008B091F">
      <w:pPr>
        <w:pStyle w:val="afa"/>
        <w:spacing w:line="360" w:lineRule="auto"/>
        <w:ind w:firstLine="709"/>
        <w:rPr>
          <w:highlight w:val="white"/>
        </w:rPr>
      </w:pPr>
      <w:r>
        <w:rPr>
          <w:highlight w:val="white"/>
        </w:rPr>
        <w:t>В 3 квартале 2023 года руководит</w:t>
      </w:r>
      <w:r>
        <w:rPr>
          <w:highlight w:val="white"/>
        </w:rPr>
        <w:t>ели и специалисты, прошедшие обучение и проверку знаний по охране труда в разрезе отраслей экономики, распределились следующим образом: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tabs>
          <w:tab w:val="left" w:pos="426"/>
        </w:tabs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lastRenderedPageBreak/>
        <w:t>нефтегазодобывающая отрасль и переработка  – 10 072 человека;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строительство –  1 402 человека;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транспорт и дорожное хозяйство –   684 человека;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tabs>
          <w:tab w:val="left" w:pos="426"/>
        </w:tabs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образование –  82  человека;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промышленность – 267 человек;</w:t>
      </w:r>
    </w:p>
    <w:p w:rsidR="000701BB" w:rsidRDefault="008B091F">
      <w:pPr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sz w:val="28"/>
          <w:highlight w:val="white"/>
        </w:rPr>
      </w:pPr>
      <w:r>
        <w:rPr>
          <w:sz w:val="28"/>
          <w:highlight w:val="white"/>
        </w:rPr>
        <w:t>энергетика –  303 человека;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жилищно-коммунальное хозяйство –  90 человек;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лесная промышленность – 0 человек;</w:t>
      </w:r>
    </w:p>
    <w:p w:rsidR="000701BB" w:rsidRDefault="008B091F">
      <w:pPr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sz w:val="28"/>
          <w:highlight w:val="white"/>
        </w:rPr>
      </w:pPr>
      <w:r>
        <w:rPr>
          <w:sz w:val="28"/>
          <w:highlight w:val="white"/>
        </w:rPr>
        <w:t>здравоохранение –  14 человек;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 xml:space="preserve"> малый б</w:t>
      </w:r>
      <w:r>
        <w:rPr>
          <w:highlight w:val="white"/>
        </w:rPr>
        <w:t>изнес (ИП) –  45 человек;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 xml:space="preserve"> государственные служащие –  0 человек;</w:t>
      </w:r>
    </w:p>
    <w:p w:rsidR="000701BB" w:rsidRDefault="008B091F">
      <w:pPr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sz w:val="28"/>
          <w:highlight w:val="white"/>
        </w:rPr>
      </w:pPr>
      <w:r>
        <w:rPr>
          <w:highlight w:val="white"/>
        </w:rPr>
        <w:t xml:space="preserve"> </w:t>
      </w:r>
      <w:r>
        <w:rPr>
          <w:sz w:val="28"/>
          <w:highlight w:val="white"/>
        </w:rPr>
        <w:t>социальная сфера –  15 человек;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 xml:space="preserve"> оптовая и розничная торговля – 4 человека;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 xml:space="preserve"> связь и техническое обслуживание –  28 человек;</w:t>
      </w:r>
    </w:p>
    <w:p w:rsidR="000701BB" w:rsidRDefault="008B091F">
      <w:pPr>
        <w:pStyle w:val="afa"/>
        <w:numPr>
          <w:ilvl w:val="0"/>
          <w:numId w:val="2"/>
        </w:numPr>
        <w:shd w:val="clear" w:color="FFFFFF" w:themeColor="background1" w:fill="FFFFFF" w:themeFill="background1"/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 xml:space="preserve"> прочие – 656 человек.</w:t>
      </w:r>
    </w:p>
    <w:p w:rsidR="000701BB" w:rsidRDefault="008B091F">
      <w:pPr>
        <w:pStyle w:val="afa"/>
        <w:spacing w:line="360" w:lineRule="auto"/>
        <w:ind w:firstLine="709"/>
        <w:rPr>
          <w:highlight w:val="white"/>
        </w:rPr>
      </w:pPr>
      <w:r>
        <w:rPr>
          <w:highlight w:val="white"/>
        </w:rPr>
        <w:t>Среди обучающих организаций, расположенны</w:t>
      </w:r>
      <w:r>
        <w:rPr>
          <w:highlight w:val="white"/>
        </w:rPr>
        <w:t>х на территории автономного округа, наибольшее количество руководителей и специалистов были обучены по охране труда следующими организациями:</w:t>
      </w:r>
    </w:p>
    <w:p w:rsidR="000701BB" w:rsidRDefault="008B091F">
      <w:pPr>
        <w:pStyle w:val="afa"/>
        <w:numPr>
          <w:ilvl w:val="0"/>
          <w:numId w:val="5"/>
        </w:numPr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ЧОУ ДПО «Учебно-производственный центр «КВАНТ»             (г. Нижневартовск) - 4 715 человек;</w:t>
      </w:r>
    </w:p>
    <w:p w:rsidR="000701BB" w:rsidRDefault="008B091F">
      <w:pPr>
        <w:pStyle w:val="afa"/>
        <w:numPr>
          <w:ilvl w:val="0"/>
          <w:numId w:val="5"/>
        </w:numPr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АНО Учебно-методический центр дополнительного профессионального образования «Престиж» (г. Нижневартовск) –                  3 380 человек;</w:t>
      </w:r>
    </w:p>
    <w:p w:rsidR="000701BB" w:rsidRDefault="008B091F">
      <w:pPr>
        <w:pStyle w:val="afa"/>
        <w:numPr>
          <w:ilvl w:val="0"/>
          <w:numId w:val="5"/>
        </w:numPr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БУ ПО Ханты-Мансийского автономного округа – Югры «Когалымский политехнический колледж» (г. Когалым) - 1 329 человек;</w:t>
      </w:r>
    </w:p>
    <w:p w:rsidR="000701BB" w:rsidRDefault="008B091F">
      <w:pPr>
        <w:pStyle w:val="afa"/>
        <w:numPr>
          <w:ilvl w:val="0"/>
          <w:numId w:val="5"/>
        </w:numPr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ООО «РН-Юганскнефтегаз» (г. Нефтеюганск) - 1 166 человек;</w:t>
      </w:r>
    </w:p>
    <w:p w:rsidR="000701BB" w:rsidRDefault="008B091F">
      <w:pPr>
        <w:pStyle w:val="afa"/>
        <w:numPr>
          <w:ilvl w:val="0"/>
          <w:numId w:val="5"/>
        </w:numPr>
        <w:spacing w:line="360" w:lineRule="auto"/>
        <w:ind w:left="0" w:firstLine="709"/>
        <w:rPr>
          <w:highlight w:val="white"/>
        </w:rPr>
      </w:pPr>
      <w:r>
        <w:rPr>
          <w:highlight w:val="white"/>
        </w:rPr>
        <w:t>АНО ПРО Учебный центр «Стандарт» (г. Нефтеюганск) - 975 человек.</w:t>
      </w:r>
    </w:p>
    <w:sectPr w:rsidR="00070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BB" w:rsidRDefault="008B091F">
      <w:r>
        <w:separator/>
      </w:r>
    </w:p>
  </w:endnote>
  <w:endnote w:type="continuationSeparator" w:id="0">
    <w:p w:rsidR="000701BB" w:rsidRDefault="008B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BB" w:rsidRDefault="000701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BB" w:rsidRDefault="008B091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BB" w:rsidRDefault="000701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BB" w:rsidRDefault="008B091F">
      <w:r>
        <w:separator/>
      </w:r>
    </w:p>
  </w:footnote>
  <w:footnote w:type="continuationSeparator" w:id="0">
    <w:p w:rsidR="000701BB" w:rsidRDefault="008B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BB" w:rsidRDefault="000701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BB" w:rsidRDefault="000701B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BB" w:rsidRDefault="000701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6B88"/>
    <w:multiLevelType w:val="hybridMultilevel"/>
    <w:tmpl w:val="F934E0B0"/>
    <w:lvl w:ilvl="0" w:tplc="7DAA70A0">
      <w:start w:val="1"/>
      <w:numFmt w:val="decimal"/>
      <w:lvlText w:val="%1."/>
      <w:lvlJc w:val="left"/>
      <w:pPr>
        <w:ind w:left="1069" w:hanging="360"/>
      </w:pPr>
    </w:lvl>
    <w:lvl w:ilvl="1" w:tplc="48903A18">
      <w:start w:val="1"/>
      <w:numFmt w:val="lowerLetter"/>
      <w:lvlText w:val="%2."/>
      <w:lvlJc w:val="left"/>
      <w:pPr>
        <w:ind w:left="1789" w:hanging="360"/>
      </w:pPr>
    </w:lvl>
    <w:lvl w:ilvl="2" w:tplc="03F4E2C2">
      <w:start w:val="1"/>
      <w:numFmt w:val="lowerRoman"/>
      <w:lvlText w:val="%3."/>
      <w:lvlJc w:val="right"/>
      <w:pPr>
        <w:ind w:left="2509" w:hanging="180"/>
      </w:pPr>
    </w:lvl>
    <w:lvl w:ilvl="3" w:tplc="DB529990">
      <w:start w:val="1"/>
      <w:numFmt w:val="decimal"/>
      <w:lvlText w:val="%4."/>
      <w:lvlJc w:val="left"/>
      <w:pPr>
        <w:ind w:left="3229" w:hanging="360"/>
      </w:pPr>
    </w:lvl>
    <w:lvl w:ilvl="4" w:tplc="A85C454E">
      <w:start w:val="1"/>
      <w:numFmt w:val="lowerLetter"/>
      <w:lvlText w:val="%5."/>
      <w:lvlJc w:val="left"/>
      <w:pPr>
        <w:ind w:left="3949" w:hanging="360"/>
      </w:pPr>
    </w:lvl>
    <w:lvl w:ilvl="5" w:tplc="12A8FCD2">
      <w:start w:val="1"/>
      <w:numFmt w:val="lowerRoman"/>
      <w:lvlText w:val="%6."/>
      <w:lvlJc w:val="right"/>
      <w:pPr>
        <w:ind w:left="4669" w:hanging="180"/>
      </w:pPr>
    </w:lvl>
    <w:lvl w:ilvl="6" w:tplc="A530CE6E">
      <w:start w:val="1"/>
      <w:numFmt w:val="decimal"/>
      <w:lvlText w:val="%7."/>
      <w:lvlJc w:val="left"/>
      <w:pPr>
        <w:ind w:left="5389" w:hanging="360"/>
      </w:pPr>
    </w:lvl>
    <w:lvl w:ilvl="7" w:tplc="C9A8E43E">
      <w:start w:val="1"/>
      <w:numFmt w:val="lowerLetter"/>
      <w:lvlText w:val="%8."/>
      <w:lvlJc w:val="left"/>
      <w:pPr>
        <w:ind w:left="6109" w:hanging="360"/>
      </w:pPr>
    </w:lvl>
    <w:lvl w:ilvl="8" w:tplc="DA0C7D5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21ADD"/>
    <w:multiLevelType w:val="hybridMultilevel"/>
    <w:tmpl w:val="920412A0"/>
    <w:lvl w:ilvl="0" w:tplc="D0BEAF2A">
      <w:start w:val="1"/>
      <w:numFmt w:val="decimal"/>
      <w:lvlText w:val="%1)"/>
      <w:lvlJc w:val="left"/>
      <w:pPr>
        <w:ind w:left="360" w:hanging="360"/>
      </w:pPr>
      <w:rPr>
        <w:highlight w:val="white"/>
      </w:rPr>
    </w:lvl>
    <w:lvl w:ilvl="1" w:tplc="6C80D106">
      <w:start w:val="1"/>
      <w:numFmt w:val="lowerLetter"/>
      <w:lvlText w:val="%2."/>
      <w:lvlJc w:val="left"/>
      <w:pPr>
        <w:ind w:left="-747" w:hanging="360"/>
      </w:pPr>
    </w:lvl>
    <w:lvl w:ilvl="2" w:tplc="53A66188">
      <w:start w:val="1"/>
      <w:numFmt w:val="lowerRoman"/>
      <w:lvlText w:val="%3."/>
      <w:lvlJc w:val="right"/>
      <w:pPr>
        <w:ind w:left="-27" w:hanging="180"/>
      </w:pPr>
    </w:lvl>
    <w:lvl w:ilvl="3" w:tplc="1B86677C">
      <w:start w:val="1"/>
      <w:numFmt w:val="decimal"/>
      <w:lvlText w:val="%4."/>
      <w:lvlJc w:val="left"/>
      <w:pPr>
        <w:ind w:left="693" w:hanging="360"/>
      </w:pPr>
    </w:lvl>
    <w:lvl w:ilvl="4" w:tplc="919E07DA">
      <w:start w:val="1"/>
      <w:numFmt w:val="lowerLetter"/>
      <w:lvlText w:val="%5."/>
      <w:lvlJc w:val="left"/>
      <w:pPr>
        <w:ind w:left="1413" w:hanging="360"/>
      </w:pPr>
    </w:lvl>
    <w:lvl w:ilvl="5" w:tplc="87207E2C">
      <w:start w:val="1"/>
      <w:numFmt w:val="lowerRoman"/>
      <w:lvlText w:val="%6."/>
      <w:lvlJc w:val="right"/>
      <w:pPr>
        <w:ind w:left="2133" w:hanging="180"/>
      </w:pPr>
    </w:lvl>
    <w:lvl w:ilvl="6" w:tplc="E9D6738A">
      <w:start w:val="1"/>
      <w:numFmt w:val="decimal"/>
      <w:lvlText w:val="%7."/>
      <w:lvlJc w:val="left"/>
      <w:pPr>
        <w:ind w:left="2853" w:hanging="360"/>
      </w:pPr>
    </w:lvl>
    <w:lvl w:ilvl="7" w:tplc="F2D2EE1C">
      <w:start w:val="1"/>
      <w:numFmt w:val="lowerLetter"/>
      <w:lvlText w:val="%8."/>
      <w:lvlJc w:val="left"/>
      <w:pPr>
        <w:ind w:left="3573" w:hanging="360"/>
      </w:pPr>
    </w:lvl>
    <w:lvl w:ilvl="8" w:tplc="6F382F34">
      <w:start w:val="1"/>
      <w:numFmt w:val="lowerRoman"/>
      <w:lvlText w:val="%9."/>
      <w:lvlJc w:val="right"/>
      <w:pPr>
        <w:ind w:left="4293" w:hanging="180"/>
      </w:pPr>
    </w:lvl>
  </w:abstractNum>
  <w:abstractNum w:abstractNumId="2" w15:restartNumberingAfterBreak="0">
    <w:nsid w:val="143558D6"/>
    <w:multiLevelType w:val="hybridMultilevel"/>
    <w:tmpl w:val="8EA0F518"/>
    <w:lvl w:ilvl="0" w:tplc="2AF41776">
      <w:start w:val="1"/>
      <w:numFmt w:val="decimal"/>
      <w:lvlText w:val="%1."/>
      <w:lvlJc w:val="left"/>
      <w:pPr>
        <w:ind w:left="1069" w:hanging="360"/>
      </w:pPr>
    </w:lvl>
    <w:lvl w:ilvl="1" w:tplc="69E63DA0">
      <w:start w:val="1"/>
      <w:numFmt w:val="lowerLetter"/>
      <w:lvlText w:val="%2."/>
      <w:lvlJc w:val="left"/>
      <w:pPr>
        <w:ind w:left="1789" w:hanging="360"/>
      </w:pPr>
    </w:lvl>
    <w:lvl w:ilvl="2" w:tplc="9F643ED0">
      <w:start w:val="1"/>
      <w:numFmt w:val="lowerRoman"/>
      <w:lvlText w:val="%3."/>
      <w:lvlJc w:val="right"/>
      <w:pPr>
        <w:ind w:left="2509" w:hanging="180"/>
      </w:pPr>
    </w:lvl>
    <w:lvl w:ilvl="3" w:tplc="1B4EC306">
      <w:start w:val="1"/>
      <w:numFmt w:val="decimal"/>
      <w:lvlText w:val="%4."/>
      <w:lvlJc w:val="left"/>
      <w:pPr>
        <w:ind w:left="3229" w:hanging="360"/>
      </w:pPr>
    </w:lvl>
    <w:lvl w:ilvl="4" w:tplc="47E80E84">
      <w:start w:val="1"/>
      <w:numFmt w:val="lowerLetter"/>
      <w:lvlText w:val="%5."/>
      <w:lvlJc w:val="left"/>
      <w:pPr>
        <w:ind w:left="3949" w:hanging="360"/>
      </w:pPr>
    </w:lvl>
    <w:lvl w:ilvl="5" w:tplc="2FC8640C">
      <w:start w:val="1"/>
      <w:numFmt w:val="lowerRoman"/>
      <w:lvlText w:val="%6."/>
      <w:lvlJc w:val="right"/>
      <w:pPr>
        <w:ind w:left="4669" w:hanging="180"/>
      </w:pPr>
    </w:lvl>
    <w:lvl w:ilvl="6" w:tplc="75D85022">
      <w:start w:val="1"/>
      <w:numFmt w:val="decimal"/>
      <w:lvlText w:val="%7."/>
      <w:lvlJc w:val="left"/>
      <w:pPr>
        <w:ind w:left="5389" w:hanging="360"/>
      </w:pPr>
    </w:lvl>
    <w:lvl w:ilvl="7" w:tplc="9F726220">
      <w:start w:val="1"/>
      <w:numFmt w:val="lowerLetter"/>
      <w:lvlText w:val="%8."/>
      <w:lvlJc w:val="left"/>
      <w:pPr>
        <w:ind w:left="6109" w:hanging="360"/>
      </w:pPr>
    </w:lvl>
    <w:lvl w:ilvl="8" w:tplc="D93EBF4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7C2962"/>
    <w:multiLevelType w:val="hybridMultilevel"/>
    <w:tmpl w:val="B430278A"/>
    <w:lvl w:ilvl="0" w:tplc="33FEF10C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</w:lvl>
    <w:lvl w:ilvl="1" w:tplc="0C4E75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3EE7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F83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60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8C8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2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C23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3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34A55"/>
    <w:multiLevelType w:val="hybridMultilevel"/>
    <w:tmpl w:val="AF6C3FD4"/>
    <w:lvl w:ilvl="0" w:tplc="F28A3D1C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AD6A53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E52697D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9443B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A8CD7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E341DA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C88E98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67ECD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CB636A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63213C64"/>
    <w:multiLevelType w:val="hybridMultilevel"/>
    <w:tmpl w:val="EEC47EB6"/>
    <w:lvl w:ilvl="0" w:tplc="811A226A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901E6238">
      <w:start w:val="1"/>
      <w:numFmt w:val="lowerLetter"/>
      <w:lvlText w:val="%2."/>
      <w:lvlJc w:val="left"/>
      <w:pPr>
        <w:ind w:left="1440" w:hanging="360"/>
      </w:pPr>
    </w:lvl>
    <w:lvl w:ilvl="2" w:tplc="558C5850">
      <w:start w:val="1"/>
      <w:numFmt w:val="lowerRoman"/>
      <w:lvlText w:val="%3."/>
      <w:lvlJc w:val="right"/>
      <w:pPr>
        <w:ind w:left="2160" w:hanging="180"/>
      </w:pPr>
    </w:lvl>
    <w:lvl w:ilvl="3" w:tplc="63C87C2A">
      <w:start w:val="1"/>
      <w:numFmt w:val="decimal"/>
      <w:lvlText w:val="%4."/>
      <w:lvlJc w:val="left"/>
      <w:pPr>
        <w:ind w:left="2880" w:hanging="360"/>
      </w:pPr>
    </w:lvl>
    <w:lvl w:ilvl="4" w:tplc="D0F0406C">
      <w:start w:val="1"/>
      <w:numFmt w:val="lowerLetter"/>
      <w:lvlText w:val="%5."/>
      <w:lvlJc w:val="left"/>
      <w:pPr>
        <w:ind w:left="3600" w:hanging="360"/>
      </w:pPr>
    </w:lvl>
    <w:lvl w:ilvl="5" w:tplc="F624863A">
      <w:start w:val="1"/>
      <w:numFmt w:val="lowerRoman"/>
      <w:lvlText w:val="%6."/>
      <w:lvlJc w:val="right"/>
      <w:pPr>
        <w:ind w:left="4320" w:hanging="180"/>
      </w:pPr>
    </w:lvl>
    <w:lvl w:ilvl="6" w:tplc="05F85DCE">
      <w:start w:val="1"/>
      <w:numFmt w:val="decimal"/>
      <w:lvlText w:val="%7."/>
      <w:lvlJc w:val="left"/>
      <w:pPr>
        <w:ind w:left="5040" w:hanging="360"/>
      </w:pPr>
    </w:lvl>
    <w:lvl w:ilvl="7" w:tplc="3926B04A">
      <w:start w:val="1"/>
      <w:numFmt w:val="lowerLetter"/>
      <w:lvlText w:val="%8."/>
      <w:lvlJc w:val="left"/>
      <w:pPr>
        <w:ind w:left="5760" w:hanging="360"/>
      </w:pPr>
    </w:lvl>
    <w:lvl w:ilvl="8" w:tplc="B1B046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B"/>
    <w:rsid w:val="000701BB"/>
    <w:rsid w:val="008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95930-8616-439D-9F02-58F6D02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both"/>
    </w:pPr>
    <w:rPr>
      <w:sz w:val="28"/>
    </w:rPr>
  </w:style>
  <w:style w:type="paragraph" w:styleId="afb">
    <w:name w:val="Body Text Indent"/>
    <w:basedOn w:val="a"/>
    <w:link w:val="afc"/>
    <w:pPr>
      <w:spacing w:after="120"/>
      <w:ind w:left="283"/>
    </w:p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character" w:customStyle="1" w:styleId="afc">
    <w:name w:val="Основной текст с отступом Знак"/>
    <w:link w:val="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системы обучения по охране труда и проверки знаний требований охраны труда руководителей и специалистов организаций  в 2009 году на территории Ханты-Мансийского автономного округа-Югры</vt:lpstr>
    </vt:vector>
  </TitlesOfParts>
  <Company>ДТСЗН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системы обучения по охране труда и проверки знаний требований охраны труда руководителей и специалистов организаций  в 2009 году на территории Ханты-Мансийского автономного округа-Югры</dc:title>
  <dc:creator>KuznecOV</dc:creator>
  <cp:lastModifiedBy>Гайсинская О.А.</cp:lastModifiedBy>
  <cp:revision>2</cp:revision>
  <dcterms:created xsi:type="dcterms:W3CDTF">2023-10-25T10:27:00Z</dcterms:created>
  <dcterms:modified xsi:type="dcterms:W3CDTF">2023-10-25T10:27:00Z</dcterms:modified>
  <cp:version>917504</cp:version>
</cp:coreProperties>
</file>