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65" w:rsidRDefault="00D27A65">
      <w:pPr>
        <w:pStyle w:val="ConsPlusNormal"/>
        <w:jc w:val="both"/>
        <w:outlineLvl w:val="0"/>
      </w:pPr>
      <w:bookmarkStart w:id="0" w:name="_GoBack"/>
      <w:bookmarkEnd w:id="0"/>
    </w:p>
    <w:p w:rsidR="00D27A65" w:rsidRDefault="00704EB8">
      <w:pPr>
        <w:pStyle w:val="ConsPlusTitle"/>
        <w:jc w:val="center"/>
        <w:outlineLvl w:val="0"/>
      </w:pPr>
      <w:r>
        <w:t>ГОСУДАРСТВЕННАЯ СИСТЕМА САНИТАРНО-ЭПИДЕМИОЛОГИЧЕСКОГО</w:t>
      </w:r>
    </w:p>
    <w:p w:rsidR="00D27A65" w:rsidRDefault="00704EB8">
      <w:pPr>
        <w:pStyle w:val="ConsPlusTitle"/>
        <w:jc w:val="center"/>
      </w:pPr>
      <w:r>
        <w:t>НОРМИРОВАНИЯ РОССИЙСКОЙ ФЕДЕРАЦИИ</w:t>
      </w:r>
    </w:p>
    <w:p w:rsidR="00D27A65" w:rsidRDefault="00D27A65">
      <w:pPr>
        <w:pStyle w:val="ConsPlusTitle"/>
        <w:jc w:val="center"/>
      </w:pPr>
    </w:p>
    <w:p w:rsidR="00D27A65" w:rsidRDefault="00704EB8">
      <w:pPr>
        <w:pStyle w:val="ConsPlusTitle"/>
        <w:jc w:val="center"/>
      </w:pPr>
      <w:r>
        <w:t>ФЕДЕРАЛЬНЫЕ САНИТАРНЫЕ ПРАВИЛА, НОРМЫ</w:t>
      </w:r>
    </w:p>
    <w:p w:rsidR="00D27A65" w:rsidRDefault="00704EB8">
      <w:pPr>
        <w:pStyle w:val="ConsPlusTitle"/>
        <w:jc w:val="center"/>
      </w:pPr>
      <w:r>
        <w:t>И ГИГИЕНИЧЕСКИЕ НОРМАТИВЫ</w:t>
      </w:r>
    </w:p>
    <w:p w:rsidR="00D27A65" w:rsidRDefault="00D27A65">
      <w:pPr>
        <w:pStyle w:val="ConsPlusNormal"/>
        <w:jc w:val="center"/>
      </w:pPr>
    </w:p>
    <w:p w:rsidR="00D27A65" w:rsidRDefault="00704EB8">
      <w:pPr>
        <w:pStyle w:val="ConsPlusNormal"/>
        <w:jc w:val="right"/>
      </w:pPr>
      <w:r>
        <w:t>Утверждено</w:t>
      </w:r>
    </w:p>
    <w:p w:rsidR="00D27A65" w:rsidRDefault="00704EB8">
      <w:pPr>
        <w:pStyle w:val="ConsPlusNormal"/>
        <w:jc w:val="right"/>
      </w:pPr>
      <w:r>
        <w:t>Постановлением Госкомсанэпиднадзора России</w:t>
      </w:r>
    </w:p>
    <w:p w:rsidR="00D27A65" w:rsidRDefault="00704EB8">
      <w:pPr>
        <w:pStyle w:val="ConsPlusNormal"/>
        <w:jc w:val="right"/>
      </w:pPr>
      <w:r>
        <w:t>от 28 октября 1996 года N 32</w:t>
      </w:r>
    </w:p>
    <w:p w:rsidR="00D27A65" w:rsidRDefault="00D27A65">
      <w:pPr>
        <w:pStyle w:val="ConsPlusNormal"/>
        <w:jc w:val="center"/>
      </w:pPr>
    </w:p>
    <w:p w:rsidR="00D27A65" w:rsidRDefault="00704EB8">
      <w:pPr>
        <w:pStyle w:val="ConsPlusNormal"/>
        <w:jc w:val="right"/>
      </w:pPr>
      <w:r>
        <w:t>Дата введения: с момента опубликования</w:t>
      </w:r>
    </w:p>
    <w:p w:rsidR="00D27A65" w:rsidRDefault="00D27A6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27A6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27A65" w:rsidRDefault="00704EB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D27A65" w:rsidRDefault="00704EB8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 xml:space="preserve">О статусе данного документа см. письма Роспотребнадзора от 25.12.2018 </w:t>
            </w:r>
            <w:hyperlink r:id="rId6" w:history="1">
              <w:r>
                <w:rPr>
                  <w:color w:val="0000FF"/>
                </w:rPr>
                <w:t>N 01/17015-2018-31</w:t>
              </w:r>
            </w:hyperlink>
            <w:r>
              <w:rPr>
                <w:color w:val="392C69"/>
              </w:rPr>
              <w:t xml:space="preserve"> и от 04.07.2018 </w:t>
            </w:r>
            <w:hyperlink r:id="rId7" w:history="1">
              <w:r>
                <w:rPr>
                  <w:color w:val="0000FF"/>
                </w:rPr>
                <w:t>N 09-6240-2018-40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27A65" w:rsidRDefault="00704EB8">
      <w:pPr>
        <w:pStyle w:val="ConsPlusTitle"/>
        <w:spacing w:before="300"/>
        <w:jc w:val="center"/>
      </w:pPr>
      <w:r>
        <w:t>2.2. ГИГИЕНА ТРУДА</w:t>
      </w:r>
    </w:p>
    <w:p w:rsidR="00D27A65" w:rsidRDefault="00D27A65">
      <w:pPr>
        <w:pStyle w:val="ConsPlusTitle"/>
        <w:jc w:val="center"/>
      </w:pPr>
    </w:p>
    <w:p w:rsidR="00D27A65" w:rsidRDefault="00704EB8">
      <w:pPr>
        <w:pStyle w:val="ConsPlusTitle"/>
        <w:jc w:val="center"/>
      </w:pPr>
      <w:r>
        <w:t>ГИГИЕНИЧЕСКИЕ ТРЕБОВАНИЯ К УСЛОВИЯМ ТРУДА ЖЕНЩИН</w:t>
      </w:r>
    </w:p>
    <w:p w:rsidR="00D27A65" w:rsidRDefault="00D27A65">
      <w:pPr>
        <w:pStyle w:val="ConsPlusTitle"/>
        <w:jc w:val="center"/>
      </w:pPr>
    </w:p>
    <w:p w:rsidR="00D27A65" w:rsidRDefault="00704EB8">
      <w:pPr>
        <w:pStyle w:val="ConsPlusTitle"/>
        <w:jc w:val="center"/>
      </w:pPr>
      <w:r>
        <w:t>Санитарные правила и нормы</w:t>
      </w:r>
    </w:p>
    <w:p w:rsidR="00D27A65" w:rsidRDefault="00704EB8">
      <w:pPr>
        <w:pStyle w:val="ConsPlusTitle"/>
        <w:jc w:val="center"/>
      </w:pPr>
      <w:r>
        <w:t>СанПиН 2.2.0.555-96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1. Разработаны НИИ медицины труда РАМН (Низяева И.В., Сивочалова О.В., Волкова З.А., Суворов Г.А., Денисов Э.И., Афанасьева Р.Ф., Еловская Л.Т.); Нижегородским НИИ гигиены и профпатологии (Благодатин В.М., Осипова Т.В., Тихомиров Ю.П., Федотова И.В.); Хабаровским государственным техническим университетом (Якимова Л.Д.); Владивостокским государственным медицинским институтом (Шепарев А.А.); Госкомсанэпиднадзором России (Кучеренко А.И.).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2. Утверждены и введены в действие Постановлением Госкомсанэпиднадзора России от 28 октября 1996 г. N 32.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3. Введены впервые в качестве нормативного документа.</w:t>
      </w:r>
    </w:p>
    <w:p w:rsidR="00D27A65" w:rsidRDefault="00D27A6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27A6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27A65" w:rsidRDefault="00704EB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D27A65" w:rsidRDefault="007415BE">
            <w:pPr>
              <w:pStyle w:val="ConsPlusNormal"/>
              <w:jc w:val="both"/>
              <w:rPr>
                <w:color w:val="392C69"/>
              </w:rPr>
            </w:pPr>
            <w:hyperlink r:id="rId8" w:history="1">
              <w:r w:rsidR="00704EB8">
                <w:rPr>
                  <w:color w:val="0000FF"/>
                </w:rPr>
                <w:t>Закон</w:t>
              </w:r>
            </w:hyperlink>
            <w:r w:rsidR="00704EB8">
              <w:rPr>
                <w:color w:val="392C69"/>
              </w:rPr>
              <w:t xml:space="preserve"> РСФСР от 19.04.1991 N 1034-1 утратил силу в связи с принятием Федерального </w:t>
            </w:r>
            <w:hyperlink r:id="rId9" w:history="1">
              <w:r w:rsidR="00704EB8">
                <w:rPr>
                  <w:color w:val="0000FF"/>
                </w:rPr>
                <w:t>закона</w:t>
              </w:r>
            </w:hyperlink>
            <w:r w:rsidR="00704EB8">
              <w:rPr>
                <w:color w:val="392C69"/>
              </w:rPr>
              <w:t xml:space="preserve"> от 30.03.1999 N 52-ФЗ.</w:t>
            </w:r>
          </w:p>
        </w:tc>
      </w:tr>
    </w:tbl>
    <w:p w:rsidR="00D27A65" w:rsidRDefault="007415BE">
      <w:pPr>
        <w:pStyle w:val="ConsPlusNormal"/>
        <w:spacing w:before="300"/>
        <w:jc w:val="center"/>
      </w:pPr>
      <w:hyperlink r:id="rId10" w:history="1">
        <w:r w:rsidR="00704EB8">
          <w:rPr>
            <w:color w:val="0000FF"/>
          </w:rPr>
          <w:t>Закон</w:t>
        </w:r>
      </w:hyperlink>
      <w:r w:rsidR="00704EB8">
        <w:t xml:space="preserve"> РСФСР "О санитарно-эпидемиологическом</w:t>
      </w:r>
    </w:p>
    <w:p w:rsidR="00D27A65" w:rsidRDefault="00704EB8">
      <w:pPr>
        <w:pStyle w:val="ConsPlusNormal"/>
        <w:jc w:val="center"/>
      </w:pPr>
      <w:r>
        <w:t>благополучии населения"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"Санитарные правила, нормы и гигиенические нормативы (далее - санитарные правила) - нормативные акты, устанавливающие критерии безопасности и (или) безвредности для человека факторов среды его обитания и требования к обеспечению благоприятных условий его жизнедеятельности.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Санитарные правила обязательны для соблюдения всеми государственными органами и общественными объединениями, предприятиями и иными хозяйствующими субъектами, </w:t>
      </w:r>
      <w:r>
        <w:lastRenderedPageBreak/>
        <w:t xml:space="preserve">организациями и учреждениями, независимо от их подчиненности и форм собственности, должностными лицами и гражданами" </w:t>
      </w:r>
      <w:hyperlink r:id="rId11" w:history="1">
        <w:r>
          <w:rPr>
            <w:color w:val="0000FF"/>
          </w:rPr>
          <w:t>(статья 3)</w:t>
        </w:r>
      </w:hyperlink>
      <w:r>
        <w:t>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"Санитарным правонарушением признается посягающее на права граждан и интересы общества противоправное, виновное (умышленное или неосторожное) деяние (действие или бездействие), связанное с несоблюдением санитарного законодательства РСФСР, в том числе действующих санитарных правил...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Должностные лица и граждане РСФСР, допустившие санитарное правонарушение, могут быть привлечены к дисциплинарной, административной и уголовной ответственности" </w:t>
      </w:r>
      <w:hyperlink r:id="rId12" w:history="1">
        <w:r>
          <w:rPr>
            <w:color w:val="0000FF"/>
          </w:rPr>
          <w:t>(статья 27)</w:t>
        </w:r>
      </w:hyperlink>
      <w:r>
        <w:t>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  <w:outlineLvl w:val="1"/>
      </w:pPr>
      <w:r>
        <w:t>1. Область применения и общие положения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 xml:space="preserve">1.1. Настоящие санитарные правила и нормы (далее - Санитарные правила) определяют обязательные гигиенические требования к производственным процессам, оборудованию, основным рабочим местам, </w:t>
      </w:r>
      <w:hyperlink r:id="rId13" w:history="1">
        <w:r>
          <w:rPr>
            <w:color w:val="0000FF"/>
          </w:rPr>
          <w:t>трудовому процессу</w:t>
        </w:r>
      </w:hyperlink>
      <w:r>
        <w:t>, производственной среде и санитарно-бытовому обеспечению работающих женщин в целях охраны их здоровья.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Санитарные правила распространяются на предприятия, учреждения и организации (в дальнейшем - предприятия) всех форм собственности, независимо от сферы хозяйственной деятельности и ведомственной подчиненности, в которых применяется труд женщин.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Целью настоящего документа является предотвращение негативных последствий применения труда женщин в условиях производства, создание гигиенически безопасных условий труда с учетом анатомо-физиологических особенностей их организма, сохранение здоровья работающих женщин на основе комплексной гигиенической оценки вредных факторов производственной среды и трудового процесса.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1.2. Ответственность за выполнение настоящих санитарных правил возлагается на должностных лиц, специалистов и работников организаций, физических лиц, занимающихся предпринимательской деятельностью, а также проектных организаций, разрабатывающих проекты строительства и реконструкции предприятий.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1.3. Ссылки на обязательность соблюдения установленных настоящими санитарными правилами требований должны быть включены в государственные стандарты и иные нормативные и технические документы, затрагивающие регламентацию безопасности труда женщин.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1.4. Государственный надзор и контроль за выполнением требований настоящих санитарных правил осуществляется органами государственного санитарно-эпидемического надзора Российской Федерации, а ведомственный санитарно-эпидемический надзор и контроль - органами и учреждениями санитарно-эпидемического профиля соответствующих министерств и ведомств.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1.5. В проектах на строительство, расширение, реконструкцию, техническое и технологическое перевооружение на период привязки к местности должны учитываться сведения о половозрастном составе местного населения и мигрантов, а также об уровне и динамике рождаемости в конкретном регионе.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1.6. Технологическое оборудование на предприятиях, использующих труд женщин, должно отвечать их анатомо-физиологическим особенностям.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1.7. При определении необходимого числа рабочих мест на предприятии следует учитывать, </w:t>
      </w:r>
      <w:r>
        <w:lastRenderedPageBreak/>
        <w:t>что на тяжелых работах и работах с вредными или опасными условиями труда запрещается применение труда женщин.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1.8. Оценка условий труда женщин должна осуществляться с учетом физиологических нормативов физического напряжения при выполнении ими трудовых операций </w:t>
      </w:r>
      <w:hyperlink w:anchor="Par619" w:tooltip="ФИЗИОЛОГИЧЕСКИЕ НОРМАТИВЫ ФИЗИЧЕСКОГО НАПРЯЖЕНИЯ ПРИ ТРУДЕ" w:history="1">
        <w:r>
          <w:rPr>
            <w:color w:val="0000FF"/>
          </w:rPr>
          <w:t>(приложение 1)</w:t>
        </w:r>
      </w:hyperlink>
      <w:r>
        <w:t xml:space="preserve"> и проводиться по двум видам нормативных показаний: гигиеническим и профессиографическим.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1.9. Для практически здоровых женщин на предприятиях всех видов собственности должны предоставляться рабочие места с допустимыми условиями труда &lt;*&gt;.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&lt;*&gt; Допустимые условия труда характеризуются такими уровнями факторов среды и трудового процесса, которые не превышают установленных гигиенических нормативов для рабочих мест, а возможные изменения функционального состояния организма восстанавливаются во время регламентированного отдыха или к началу следующей смены и не должны оказывать неблагоприятного воздействия в ближайшем и отдаленном периодах на состояние здоровья работающих и их потомство. Соответствуют безопасным условиям труда.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1.10. Перед поступлением на работу женщины должны проходить медицинское обследование, с учетом предстоящей профессии, и иметь медицинское заключение о состоянии здоровья по результатам осмотра комиссией врачей, включая акушера-гинеколога, в соответствии с Приказом Министерства здравоохранения Российской Федерации. Женщины, поступающие на работы, не предусмотренные Приказом Министерства здравоохранения Российской Федерации, подлежат предварительному медицинскому осмотру терапевтом и акушером-гинекологом.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1.11. Все женщины-работницы со дня установления у них беременности должны быть взяты под тщательное диспансерное наблюдение с обязательным трудоустройством в ранние сроки на работу, не связанную с воздействием вредных производственных факторов на весь период беременности и лактации. Организация трудового процесса на рабочем месте должна соответствовать "</w:t>
      </w:r>
      <w:hyperlink r:id="rId14" w:history="1">
        <w:r>
          <w:rPr>
            <w:color w:val="0000FF"/>
          </w:rPr>
          <w:t>Гигиеническим рекомендациям</w:t>
        </w:r>
      </w:hyperlink>
      <w:r>
        <w:t xml:space="preserve"> к рациональному трудоустройству беременных женщин" и </w:t>
      </w:r>
      <w:hyperlink w:anchor="Par431" w:tooltip="4. Требования к условиям труда женщин в период беременности" w:history="1">
        <w:r>
          <w:rPr>
            <w:color w:val="0000FF"/>
          </w:rPr>
          <w:t>разделу 4</w:t>
        </w:r>
      </w:hyperlink>
      <w:r>
        <w:t xml:space="preserve"> настоящих санитарных правил.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1.12. Постоянные рабочие места на производственных объектах должны иметь санитарно-гигиенические паспорта с общей и количественной характеристиками факторов производственной среды и трудового процесса.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1.13. Сроки и очередность выполнения требований, предусмотренных настоящими санитарными правилами, на действующих объектах устанавливаются администрацией предприятия по согласованию с органами Государственного санитарно-эпидемиологического надзора, а для объектов вновь вводимых в эксплуатацию, не позднее 6-ти месяцев с момента пуска, но в обоих случаях не позднее 1 января 1998 года.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1.14. В соответствии со </w:t>
      </w:r>
      <w:hyperlink r:id="rId15" w:history="1">
        <w:r>
          <w:rPr>
            <w:color w:val="0000FF"/>
          </w:rPr>
          <w:t>статьями 9</w:t>
        </w:r>
      </w:hyperlink>
      <w:r>
        <w:t xml:space="preserve"> и </w:t>
      </w:r>
      <w:hyperlink r:id="rId16" w:history="1">
        <w:r>
          <w:rPr>
            <w:color w:val="0000FF"/>
          </w:rPr>
          <w:t>34</w:t>
        </w:r>
      </w:hyperlink>
      <w:r>
        <w:t xml:space="preserve"> Закона РСФСР "О санитарно-эпидемиологическом благополучии населения" в организациях и на предприятиях должен осуществляться производственный контроль за соблюдением требований санитарных правил и проведением гигиенических и лечебно-профилактических мероприятий.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  <w:outlineLvl w:val="1"/>
      </w:pPr>
      <w:r>
        <w:t>2. Требования к условиям труда женщин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  <w:outlineLvl w:val="2"/>
      </w:pPr>
      <w:r>
        <w:t>2.1. Требования к производственной среде, трудовому</w:t>
      </w:r>
    </w:p>
    <w:p w:rsidR="00D27A65" w:rsidRDefault="00704EB8">
      <w:pPr>
        <w:pStyle w:val="ConsPlusNormal"/>
        <w:jc w:val="center"/>
      </w:pPr>
      <w:r>
        <w:lastRenderedPageBreak/>
        <w:t>процессу, рабочим местам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bookmarkStart w:id="1" w:name="Par63"/>
      <w:bookmarkEnd w:id="1"/>
      <w:r>
        <w:t>2.1.1. Оценка условий производственной среды на рабочем месте конкретной профессии производится на соответствие допустимым уровням (табл. 1).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3"/>
      </w:pPr>
      <w:r>
        <w:t>Таблица 1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r>
        <w:t>Перечень факторов производственной среды</w:t>
      </w:r>
    </w:p>
    <w:p w:rsidR="00D27A65" w:rsidRDefault="00D27A6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030"/>
        <w:gridCol w:w="1531"/>
      </w:tblGrid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Факторы производственной среды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Допустимые уровни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 xml:space="preserve">Вредные химические вещества, за исключением </w:t>
            </w:r>
            <w:hyperlink w:anchor="Par140" w:tooltip="Примечания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ПДК </w:t>
            </w:r>
            <w:hyperlink w:anchor="Par142" w:tooltip="&lt;2&gt; Предельно допустимые концентрации вредных веществ в воздухе рабочей зоны (сводный перечень) N 4617-88. Дополнения к перечню ПДК N 1-10.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 xml:space="preserve">Аэрозоли преимущественно фиброгенного и смешанного типа действия </w:t>
            </w:r>
            <w:hyperlink w:anchor="Par1002" w:tooltip="ПЕРЕЧЕНЬ" w:history="1">
              <w:r>
                <w:rPr>
                  <w:color w:val="0000FF"/>
                </w:rPr>
                <w:t>(приложение 3)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ПДК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Шум (эквивалентный уровень звука, дБ 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43" w:tooltip="&lt;3&gt; В соответствии с действующими Санитарными нормами допустимых уровней шума на рабочих местах.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D27A6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Вибрация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7A65" w:rsidRDefault="00D27A65">
            <w:pPr>
              <w:pStyle w:val="ConsPlusNormal"/>
            </w:pPr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локальная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44" w:tooltip="&lt;4&gt; В соответствии с действующими Гигиеническими требованиями к ручным инструментам и организации работ.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общая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45" w:tooltip="&lt;5&gt; В соответствии с Требованиями приложения 4.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Инфразвук (общий уровень звукового давления, дБ Лин)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46" w:tooltip="&lt;6&gt; В соответствии с Гигиеническими нормами инфразвука на рабочих местах.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D27A6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Ультразвук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7A65" w:rsidRDefault="00D27A65">
            <w:pPr>
              <w:pStyle w:val="ConsPlusNormal"/>
            </w:pPr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- воздушный (уровень звукового давления в 1/3 октавных полосах частот, дБ)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47" w:tooltip="&lt;7&gt; В соответствии с ГОСТом 12.1.001 ССБТ. &quot;Ультразвук. Общие требования безопасности&quot;.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- контактный (виброскорость, м/сек; логарифмический уровень виброскорости, дБ; интенсивность, Вт/см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48" w:tooltip="&lt;8&gt; В соответствии с ГОСТом 12.1.001 ССБТ. &quot;Ультразвук. Общие требования безопасности&quot;.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D27A6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Электромагнитные излучения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постоянное магнитное поле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49" w:tooltip="&lt;9&gt; В соответствии с Предельно допустимыми уровнями воздействия постоянных магнитных полей при работе с магнитными устройствами и материалами.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электростатическое поле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50" w:tooltip="&lt;10&gt; В соответствии с ГОСТом 12.1.045 ССБТ. &quot;Электростатические поля. Допустимые уровни на рабочих местах и требования к проведению контроля&quot;.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- электрические поля промышленной частоты (50 Гц)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51" w:tooltip="&lt;11&gt; В соответствии с Санитарными нормами и правилами выполнения работ в условиях воздействия электрических полей промышленной частоты (50 Гц)." w:history="1">
              <w:r>
                <w:rPr>
                  <w:color w:val="0000FF"/>
                </w:rPr>
                <w:t>&lt;11&gt;</w:t>
              </w:r>
            </w:hyperlink>
            <w:r>
              <w:t xml:space="preserve"> (для всего рабочего дня)</w:t>
            </w:r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магнитные поля промышленной частоты (50 Гц)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52" w:tooltip="&lt;12&gt; В соответствии с Предельно допустимыми уровнями магнитных полей частотой 50 Гц." w:history="1">
              <w:r>
                <w:rPr>
                  <w:color w:val="0000FF"/>
                </w:rPr>
                <w:t>&lt;12&gt;</w:t>
              </w:r>
            </w:hyperlink>
            <w:r>
              <w:t xml:space="preserve"> (для всего рабочего дня)</w:t>
            </w:r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- электромагнитные излучения радиочастотного диапазона: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0,01 - 3 Мгц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53" w:tooltip="&lt;13&gt; В соответствии с действующими Санитарными правилами и нормами Электромагнитные излучения радиочастотного диапазона; ПДУ воздействия электромагнитных полей диапазона частот 10 - 60 кГц.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3 - 30 Мгц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53" w:tooltip="&lt;13&gt; В соответствии с действующими Санитарными правилами и нормами Электромагнитные излучения радиочастотного диапазона; ПДУ воздействия электромагнитных полей диапазона частот 10 - 60 кГц.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30 - 300 Мгц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53" w:tooltip="&lt;13&gt; В соответствии с действующими Санитарными правилами и нормами Электромагнитные излучения радиочастотного диапазона; ПДУ воздействия электромагнитных полей диапазона частот 10 - 60 кГц.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300 Мгц - 300 Ггц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53" w:tooltip="&lt;13&gt; В соответствии с действующими Санитарными правилами и нормами Электромагнитные излучения радиочастотного диапазона; ПДУ воздействия электромагнитных полей диапазона частот 10 - 60 кГц.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Лазерное излучение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54" w:tooltip="&lt;14&gt; В соответствии с Санитарными нормами и правилами устройства и эксплуатации лазеров." w:history="1">
              <w:r>
                <w:rPr>
                  <w:color w:val="0000FF"/>
                </w:rPr>
                <w:t>&lt;14&gt;</w:t>
              </w:r>
            </w:hyperlink>
            <w:r>
              <w:t xml:space="preserve"> (для хронического воздействия)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Ионизирующие излучения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ОДП (основные дозовые пределы) </w:t>
            </w:r>
            <w:hyperlink w:anchor="Par155" w:tooltip="&lt;15&gt; В соответствии с Нормами радиационной безопасности НРБ-96 и дополнительными ограничениями для женщин, установленными пунктом 5.1.8 этих НРБ." w:history="1">
              <w:r>
                <w:rPr>
                  <w:color w:val="0000FF"/>
                </w:rPr>
                <w:t>&lt;15&gt;</w:t>
              </w:r>
            </w:hyperlink>
          </w:p>
        </w:tc>
      </w:tr>
      <w:tr w:rsidR="00D27A6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Параметры световой среды: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естественное освещение (КЕО, %)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704EB8">
            <w:pPr>
              <w:pStyle w:val="ConsPlusNormal"/>
              <w:jc w:val="center"/>
            </w:pPr>
            <w:r>
              <w:t xml:space="preserve">Уровни соответствуют норме </w:t>
            </w:r>
            <w:hyperlink w:anchor="Par156" w:tooltip="&lt;16&gt; СНиП 23-05-95 Строительные нормы и правила Российской Федерации. &quot;Естественное и искусственное освещение&quot;. М.; 1995.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освещенность рабочей поверхности (Е, лк)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704EB8">
            <w:pPr>
              <w:pStyle w:val="ConsPlusNormal"/>
              <w:jc w:val="center"/>
            </w:pPr>
            <w:r>
              <w:t xml:space="preserve">норма </w:t>
            </w:r>
            <w:hyperlink w:anchor="Par156" w:tooltip="&lt;16&gt; СНиП 23-05-95 Строительные нормы и правила Российской Федерации. &quot;Естественное и искусственное освещение&quot;. М.; 1995.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слепящая блесткость источников света (показатель ослепленности, Р, отн. ед.)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704EB8">
            <w:pPr>
              <w:pStyle w:val="ConsPlusNormal"/>
              <w:jc w:val="center"/>
            </w:pPr>
            <w:r>
              <w:t xml:space="preserve">норма </w:t>
            </w:r>
            <w:hyperlink w:anchor="Par156" w:tooltip="&lt;16&gt; СНиП 23-05-95 Строительные нормы и правила Российской Федерации. &quot;Естественное и искусственное освещение&quot;. М.; 1995.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отраженная слепящая блесткость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704EB8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- пульсация освещенности (коэффициент пульсации, К, %)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704EB8">
            <w:pPr>
              <w:pStyle w:val="ConsPlusNormal"/>
              <w:jc w:val="center"/>
            </w:pPr>
            <w:r>
              <w:t xml:space="preserve">норма </w:t>
            </w:r>
            <w:hyperlink w:anchor="Par156" w:tooltip="&lt;16&gt; СНиП 23-05-95 Строительные нормы и правила Российской Федерации. &quot;Естественное и искусственное освещение&quot;. М.; 1995.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- ультрафиолетовая радиация (облученность, Е</w:t>
            </w:r>
            <w:r>
              <w:rPr>
                <w:vertAlign w:val="subscript"/>
              </w:rPr>
              <w:t>уф</w:t>
            </w:r>
            <w:r>
              <w:t>, вт/м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5" w:rsidRDefault="00704EB8">
            <w:pPr>
              <w:pStyle w:val="ConsPlusNormal"/>
              <w:jc w:val="center"/>
            </w:pPr>
            <w:r>
              <w:t xml:space="preserve">норма </w:t>
            </w:r>
            <w:hyperlink w:anchor="Par157" w:tooltip="&lt;17&gt; В соответствии с &quot;Санитарными нормами ультрафиолетового излучения в производственных помещениях&quot;.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D27A6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bookmarkStart w:id="2" w:name="Par140"/>
            <w:bookmarkEnd w:id="2"/>
            <w:r>
              <w:t>Примечания.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r>
              <w:t xml:space="preserve">&lt;1&gt; Присутствие на рабочем месте вредных и опасных химических веществ 1-го и 2-го класса опасности, патогенных микроорганизмов, а также веществ, обладающих аллергенным, гонадотропным, эмбриотропным, канцерогенным, мутагенным и тератогенным действием, является противопоказанием для труда женщин детородного возраста </w:t>
            </w:r>
            <w:hyperlink w:anchor="Par670" w:tooltip="ПЕРЕЧЕНЬ" w:history="1">
              <w:r>
                <w:rPr>
                  <w:color w:val="0000FF"/>
                </w:rPr>
                <w:t>(приложение 2).</w:t>
              </w:r>
            </w:hyperlink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3" w:name="Par142"/>
            <w:bookmarkEnd w:id="3"/>
            <w:r>
              <w:t xml:space="preserve">&lt;2&gt; </w:t>
            </w:r>
            <w:hyperlink r:id="rId17" w:history="1">
              <w:r>
                <w:rPr>
                  <w:color w:val="0000FF"/>
                </w:rPr>
                <w:t>Предельно</w:t>
              </w:r>
            </w:hyperlink>
            <w:r>
              <w:t xml:space="preserve"> допустимые концентрации вредных веществ в воздухе рабочей зоны (сводный перечень) N 4617-88. Дополнения к перечню ПДК N 1-10.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4" w:name="Par143"/>
            <w:bookmarkEnd w:id="4"/>
            <w:r>
              <w:t>&lt;3&gt; В соответствии с действующими Санитарными нормами допустимых уровней шума на рабочих местах.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5" w:name="Par144"/>
            <w:bookmarkEnd w:id="5"/>
            <w:r>
              <w:t xml:space="preserve">&lt;4&gt; В соответствии с действующими </w:t>
            </w:r>
            <w:hyperlink r:id="rId18" w:history="1">
              <w:r>
                <w:rPr>
                  <w:color w:val="0000FF"/>
                </w:rPr>
                <w:t>Гигиеническими требованиями</w:t>
              </w:r>
            </w:hyperlink>
            <w:r>
              <w:t xml:space="preserve"> к ручным инструментам и организации работ.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6" w:name="Par145"/>
            <w:bookmarkEnd w:id="6"/>
            <w:r>
              <w:t xml:space="preserve">&lt;5&gt; В соответствии с Требованиями </w:t>
            </w:r>
            <w:hyperlink w:anchor="Par1058" w:tooltip="ГИГИЕНИЧЕСКИЕ ТРЕБОВАНИЯ" w:history="1">
              <w:r>
                <w:rPr>
                  <w:color w:val="0000FF"/>
                </w:rPr>
                <w:t>приложения 4.</w:t>
              </w:r>
            </w:hyperlink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7" w:name="Par146"/>
            <w:bookmarkEnd w:id="7"/>
            <w:r>
              <w:t>&lt;6&gt; В соответствии с Гигиеническими нормами инфразвука на рабочих местах.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8" w:name="Par147"/>
            <w:bookmarkEnd w:id="8"/>
            <w:r>
              <w:t>&lt;7&gt; В соответствии с ГОСТом 12.1.001 ССБТ. "Ультразвук. Общие требования безопасности".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9" w:name="Par148"/>
            <w:bookmarkEnd w:id="9"/>
            <w:r>
              <w:t>&lt;8&gt; В соответствии с ГОСТом 12.1.001 ССБТ. "Ультразвук. Общие требования безопасности".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10" w:name="Par149"/>
            <w:bookmarkEnd w:id="10"/>
            <w:r>
              <w:lastRenderedPageBreak/>
              <w:t>&lt;9&gt; В соответствии с Предельно допустимыми уровнями воздействия постоянных магнитных полей при работе с магнитными устройствами и материалами.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11" w:name="Par150"/>
            <w:bookmarkEnd w:id="11"/>
            <w:r>
              <w:t>&lt;10&gt; В соответствии с ГОСТом 12.1.045 ССБТ. "Электростатические поля. Допустимые уровни на рабочих местах и требования к проведению контроля".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12" w:name="Par151"/>
            <w:bookmarkEnd w:id="12"/>
            <w:r>
              <w:t>&lt;11&gt; В соответствии с Санитарными нормами и правилами выполнения работ в условиях воздействия электрических полей промышленной частоты (50 Гц).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13" w:name="Par152"/>
            <w:bookmarkEnd w:id="13"/>
            <w:r>
              <w:t>&lt;12&gt; В соответствии с Предельно допустимыми уровнями магнитных полей частотой 50 Гц.</w:t>
            </w:r>
          </w:p>
        </w:tc>
      </w:tr>
      <w:tr w:rsidR="00D27A65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ind w:firstLine="283"/>
              <w:jc w:val="both"/>
            </w:pPr>
            <w:bookmarkStart w:id="14" w:name="Par153"/>
            <w:bookmarkEnd w:id="14"/>
            <w:r>
              <w:lastRenderedPageBreak/>
              <w:t xml:space="preserve">&lt;13&gt; В соответствии с действующими </w:t>
            </w:r>
            <w:hyperlink r:id="rId19" w:history="1">
              <w:r>
                <w:rPr>
                  <w:color w:val="0000FF"/>
                </w:rPr>
                <w:t>Санитарными правилами</w:t>
              </w:r>
            </w:hyperlink>
            <w:r>
              <w:t xml:space="preserve"> и нормами Электромагнитные излучения радиочастотного диапазона; ПДУ воздействия электромагнитных полей диапазона частот 10 - 60 кГц.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15" w:name="Par154"/>
            <w:bookmarkEnd w:id="15"/>
            <w:r>
              <w:t xml:space="preserve">&lt;14&gt; В соответствии с </w:t>
            </w:r>
            <w:hyperlink r:id="rId20" w:history="1">
              <w:r>
                <w:rPr>
                  <w:color w:val="0000FF"/>
                </w:rPr>
                <w:t>Санитарными нормами и правилами</w:t>
              </w:r>
            </w:hyperlink>
            <w:r>
              <w:t xml:space="preserve"> устройства и эксплуатации лазеров.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16" w:name="Par155"/>
            <w:bookmarkEnd w:id="16"/>
            <w:r>
              <w:t>&lt;15&gt; В соответствии с Нормами радиационной безопасности НРБ-96 и дополнительными ограничениями для женщин, установленными пунктом 5.1.8 этих НРБ.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17" w:name="Par156"/>
            <w:bookmarkEnd w:id="17"/>
            <w:r>
              <w:t>&lt;16&gt; СНиП 23-05-95 Строительные нормы и правила Российской Федерации. "Естественное и искусственное освещение". М.; 1995.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18" w:name="Par157"/>
            <w:bookmarkEnd w:id="18"/>
            <w:r>
              <w:t>&lt;17&gt; В соответствии с "Санитарными нормами ультрафиолетового излучения в производственных помещениях".</w:t>
            </w:r>
          </w:p>
        </w:tc>
      </w:tr>
    </w:tbl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 xml:space="preserve">10. Производственный микроклимат (к табл. 1 </w:t>
      </w:r>
      <w:hyperlink w:anchor="Par63" w:tooltip="2.1.1. Оценка условий производственной среды на рабочем месте конкретной профессии производится на соответствие допустимым уровням (табл. 1)." w:history="1">
        <w:r>
          <w:rPr>
            <w:color w:val="0000FF"/>
          </w:rPr>
          <w:t>п/п 2.1.1):</w:t>
        </w:r>
      </w:hyperlink>
    </w:p>
    <w:p w:rsidR="00D27A65" w:rsidRDefault="00704EB8">
      <w:pPr>
        <w:pStyle w:val="ConsPlusNormal"/>
        <w:spacing w:before="240"/>
        <w:ind w:firstLine="540"/>
        <w:jc w:val="both"/>
      </w:pPr>
      <w:r>
        <w:t>- на рабочих местах женщин устанавливаются оптимальные или допустимые параметры микроклимата;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 оптимальные микроклиматические условия обеспечивают общее и локальное ощущение теплового комфорта в течение 8-ми часовой рабочей смены при минимальном напряжении механизмов терморегуляции, не вызывают отклонений в состоянии здоровья, создают предпосылки для сохранения высокого уровня работоспособности в течение рабочей смены;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 оптимальные величины показателей микроклимата следует соблюдать на рабочих местах, на которых выполняются работы операторского типа, связанные с нервно-эмоциональным напряжением (в кабинах, на пультах и постах управления технологическими процессами, в залах вычислительной техники и др.), или другие работы категории 1а и 1б, производимые на фиксированных рабочих местах (радиоэлектронное, часовое, швейное производства и т.п.);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 оптимальные параметры микроклимата на рабочих местах должны соответствовать требованиям Санитарных правил и норм "</w:t>
      </w:r>
      <w:hyperlink r:id="rId21" w:history="1">
        <w:r>
          <w:rPr>
            <w:color w:val="0000FF"/>
          </w:rPr>
          <w:t>Гигиенические требования</w:t>
        </w:r>
      </w:hyperlink>
      <w:r>
        <w:t xml:space="preserve"> к микроклимату производственных помещений" применительно к выполнению работ различных категорий в холодный и теплый периоды года;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 допустимые микроклиматические условия приводят к умеренному напряжению механизмов терморегуляции, сопровождающемуся возникновением общих и локальных ощущений теплового дискомфорта, некоторым ухудшением самочувствия и понижением работоспособности в течение рабочей смены, но не вызывают нарушения состояния здоровья, в том числе в отдаленном периоде;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 диапазон допустимых величин параметров микроклимата ниже нижней границы оптимальных применительно к теплому и холодному периодам года должен соответствовать Санитарным правилам и нормам "</w:t>
      </w:r>
      <w:hyperlink r:id="rId22" w:history="1">
        <w:r>
          <w:rPr>
            <w:color w:val="0000FF"/>
          </w:rPr>
          <w:t>Гигиенические требования</w:t>
        </w:r>
      </w:hyperlink>
      <w:r>
        <w:t xml:space="preserve"> к микроклимату производственных помещений";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- верхняя граница допустимой температуры воздуха в теплый период года применительно к выполнению работ различной категории должна соответствовать величинам, приведенным в </w:t>
      </w:r>
      <w:hyperlink w:anchor="Par181" w:tooltip="Допустимая температура воздуха на рабочем месте" w:history="1">
        <w:r>
          <w:rPr>
            <w:color w:val="0000FF"/>
          </w:rPr>
          <w:t>табл. 2</w:t>
        </w:r>
      </w:hyperlink>
      <w:r>
        <w:t xml:space="preserve"> применительно к часовой рабочей смене. При этом допустимые величины остальных параметров микроклимата должны соответствовать приведенным ниже;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- максимальные величины относительной влажности воздуха согласно </w:t>
      </w:r>
      <w:hyperlink r:id="rId23" w:history="1">
        <w:r>
          <w:rPr>
            <w:color w:val="0000FF"/>
          </w:rPr>
          <w:t>СанПиН 2.2.4.548-96</w:t>
        </w:r>
      </w:hyperlink>
      <w:r>
        <w:t xml:space="preserve"> не должны выходить за пределы: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70% - при температуре воздуха 25 °C,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65% - при температуре воздуха 26 °C,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60% - при температуре воздуха 27 °C;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- при температуре воздуха 25 - 27 °C скорость движения воздуха согласно </w:t>
      </w:r>
      <w:hyperlink r:id="rId24" w:history="1">
        <w:r>
          <w:rPr>
            <w:color w:val="0000FF"/>
          </w:rPr>
          <w:t>СанПиН 2.2.4.548-96</w:t>
        </w:r>
      </w:hyperlink>
      <w:r>
        <w:t xml:space="preserve"> должна соответствовать диапазону: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0,1 - 0,2 м/с - при категории работ 1а,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0,1 - 0,3 м/с - при категории работ 1б,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0,2 - 0,4 м/с - при категории работ 11а,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0,2 - 0,5 м/с - при категории работ 11б и 111;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- при тепловом облучении работающих, соответствующем верхней границе допустимого, температура воздуха на рабочих местах не должна превышать значений, указанных в </w:t>
      </w:r>
      <w:hyperlink w:anchor="Par227" w:tooltip="Допустимая температура воздуха (верхняя граница) на рабочем" w:history="1">
        <w:r>
          <w:rPr>
            <w:color w:val="0000FF"/>
          </w:rPr>
          <w:t>табл. 3;</w:t>
        </w:r>
      </w:hyperlink>
    </w:p>
    <w:p w:rsidR="00D27A65" w:rsidRDefault="00704EB8">
      <w:pPr>
        <w:pStyle w:val="ConsPlusNormal"/>
        <w:spacing w:before="240"/>
        <w:ind w:firstLine="540"/>
        <w:jc w:val="both"/>
      </w:pPr>
      <w:r>
        <w:t>- микроклимат следует считать вредным и опасным, если на рабочих местах не обеспечены допустимые величины его показателей.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3"/>
      </w:pPr>
      <w:r>
        <w:t>Таблица 2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bookmarkStart w:id="19" w:name="Par181"/>
      <w:bookmarkEnd w:id="19"/>
      <w:r>
        <w:t>Допустимая температура воздуха на рабочем месте</w:t>
      </w:r>
    </w:p>
    <w:p w:rsidR="00D27A65" w:rsidRDefault="00704EB8">
      <w:pPr>
        <w:pStyle w:val="ConsPlusNormal"/>
        <w:jc w:val="center"/>
      </w:pPr>
      <w:r>
        <w:t>в зависимости от продолжительности непрерывного пребывания</w:t>
      </w:r>
    </w:p>
    <w:p w:rsidR="00D27A65" w:rsidRDefault="00D27A6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829"/>
        <w:gridCol w:w="829"/>
        <w:gridCol w:w="829"/>
        <w:gridCol w:w="829"/>
        <w:gridCol w:w="829"/>
        <w:gridCol w:w="829"/>
        <w:gridCol w:w="829"/>
        <w:gridCol w:w="831"/>
      </w:tblGrid>
      <w:tr w:rsidR="00D27A65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Категория работ (энерготраты, Вт/м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6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Продолжительность пребывания на рабочем месте, ч.</w:t>
            </w:r>
          </w:p>
        </w:tc>
      </w:tr>
      <w:tr w:rsidR="00D27A65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6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Допустимая температура, °C (верхняя граница в теплый период года)</w:t>
            </w:r>
          </w:p>
        </w:tc>
      </w:tr>
      <w:tr w:rsidR="00D27A65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</w:t>
            </w:r>
          </w:p>
        </w:tc>
      </w:tr>
      <w:tr w:rsidR="00D27A6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1а - 1б (до 97)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30,5</w:t>
            </w:r>
          </w:p>
        </w:tc>
      </w:tr>
      <w:tr w:rsidR="00D27A6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11а - 11б (до 160)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29,5</w:t>
            </w:r>
          </w:p>
        </w:tc>
      </w:tr>
      <w:tr w:rsidR="00D27A6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111 (до 193)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28,5</w:t>
            </w:r>
          </w:p>
        </w:tc>
      </w:tr>
    </w:tbl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 xml:space="preserve">В целях предупреждения неблагоприятного влияния такого микроклимата на организм женщин должны быть использованы защитные мероприятия и, в частности, регламентация времени пребывания в неблагоприятной среде. В производствах с преимущественным использованием труда женщин верхние границы величин температуры воздуха для теплого периода года с учетом времени пребывания на рабочих местах следует определять по </w:t>
      </w:r>
      <w:hyperlink w:anchor="Par181" w:tooltip="Допустимая температура воздуха на рабочем месте" w:history="1">
        <w:r>
          <w:rPr>
            <w:color w:val="0000FF"/>
          </w:rPr>
          <w:t>табл. 2.</w:t>
        </w:r>
      </w:hyperlink>
      <w:r>
        <w:t xml:space="preserve"> Минимальные величины температуры воздуха и остальные параметры микроклимата (относительная влажность и скорость движения воздуха) должны соответствовать их допустимым величинам в соответствии с Санитарными правилами и нормами "</w:t>
      </w:r>
      <w:hyperlink r:id="rId25" w:history="1">
        <w:r>
          <w:rPr>
            <w:color w:val="0000FF"/>
          </w:rPr>
          <w:t>Гигиенические требования</w:t>
        </w:r>
      </w:hyperlink>
      <w:r>
        <w:t xml:space="preserve"> к микроклимату производственных помещений".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3"/>
      </w:pPr>
      <w:r>
        <w:t>Таблица 3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bookmarkStart w:id="20" w:name="Par227"/>
      <w:bookmarkEnd w:id="20"/>
      <w:r>
        <w:t>Допустимая температура воздуха (верхняя граница) на рабочем</w:t>
      </w:r>
    </w:p>
    <w:p w:rsidR="00D27A65" w:rsidRDefault="00704EB8">
      <w:pPr>
        <w:pStyle w:val="ConsPlusNormal"/>
        <w:jc w:val="center"/>
      </w:pPr>
      <w:r>
        <w:t>месте при тепловом облучении работающих</w:t>
      </w:r>
    </w:p>
    <w:p w:rsidR="00D27A65" w:rsidRDefault="00D27A6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78"/>
        <w:gridCol w:w="3061"/>
      </w:tblGrid>
      <w:tr w:rsidR="00D27A65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Категория работ (энерготраты, Вт/м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Период года</w:t>
            </w:r>
          </w:p>
        </w:tc>
      </w:tr>
      <w:tr w:rsidR="00D27A65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теплый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холодный</w:t>
            </w:r>
          </w:p>
        </w:tc>
      </w:tr>
      <w:tr w:rsidR="00D27A65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Допустимая температура, °C (верхняя граница)</w:t>
            </w:r>
          </w:p>
        </w:tc>
      </w:tr>
      <w:tr w:rsidR="00D27A6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1а (до 77)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23,0</w:t>
            </w:r>
          </w:p>
        </w:tc>
      </w:tr>
      <w:tr w:rsidR="00D27A6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1б (до 97)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22,0</w:t>
            </w:r>
          </w:p>
        </w:tc>
      </w:tr>
      <w:tr w:rsidR="00D27A6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11а (до 129)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21,0</w:t>
            </w:r>
          </w:p>
        </w:tc>
      </w:tr>
      <w:tr w:rsidR="00D27A6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11б (до 160)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20,0</w:t>
            </w:r>
          </w:p>
        </w:tc>
      </w:tr>
      <w:tr w:rsidR="00D27A6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111 (до 193)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19,0</w:t>
            </w:r>
          </w:p>
        </w:tc>
      </w:tr>
    </w:tbl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Среднесменная температура воздуха на рабочих местах и местах отдыха не должна выходить за пределы верхней границы допустимой и нижней границы оптимальной, применительно к 8-ми часовой рабочей смене и соответствующей категории работ и определяется по формуле:</w:t>
      </w:r>
    </w:p>
    <w:p w:rsidR="00D27A65" w:rsidRDefault="00D27A65">
      <w:pPr>
        <w:pStyle w:val="ConsPlusNormal"/>
        <w:ind w:firstLine="540"/>
        <w:jc w:val="both"/>
      </w:pPr>
    </w:p>
    <w:p w:rsidR="00D27A65" w:rsidRDefault="00E62404">
      <w:pPr>
        <w:pStyle w:val="ConsPlusNormal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048000" cy="276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 xml:space="preserve">При наличии теплового излучения при верхней границе допустимого максимальную величину допустимой температуры воздуха применительно к различной продолжительности пребывания на рабочем месте </w:t>
      </w:r>
      <w:hyperlink w:anchor="Par181" w:tooltip="Допустимая температура воздуха на рабочем месте" w:history="1">
        <w:r>
          <w:rPr>
            <w:color w:val="0000FF"/>
          </w:rPr>
          <w:t>(табл. 2)</w:t>
        </w:r>
      </w:hyperlink>
      <w:r>
        <w:t xml:space="preserve"> следует уменьшить на 2,0 °C.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Для оценки сочетанного воздействия параметров микроклимата при осуществлении мероприятий по защите работающих женщин от перегревания может быть использован интегральный показатель термической нагрузки среды (индекс ТНС, </w:t>
      </w:r>
      <w:hyperlink w:anchor="Par1091" w:tooltip="ИНТЕГРАЛЬНЫЙ ПОКАЗАТЕЛЬ ТЕПЛОВОЙ НАГРУЗКИ СРЕДЫ" w:history="1">
        <w:r>
          <w:rPr>
            <w:color w:val="0000FF"/>
          </w:rPr>
          <w:t>приложение 5).</w:t>
        </w:r>
      </w:hyperlink>
      <w:r>
        <w:t xml:space="preserve"> Его допустимые величины с учетом продолжительности непрерывного пребывания женщин на рабочем месте не должны быть выше указанных в </w:t>
      </w:r>
      <w:hyperlink w:anchor="Par1091" w:tooltip="ИНТЕГРАЛЬНЫЙ ПОКАЗАТЕЛЬ ТЕПЛОВОЙ НАГРУЗКИ СРЕДЫ" w:history="1">
        <w:r>
          <w:rPr>
            <w:color w:val="0000FF"/>
          </w:rPr>
          <w:t>приложении 5</w:t>
        </w:r>
      </w:hyperlink>
      <w:r>
        <w:t>. При этом среднесменные величины индекса ТНС (с учетом его величин на рабочих местах и местах отдыха) не должны превышать верхнюю границу допустимого его значения применительно к 8-ми часовой рабочей смене.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2.1.2. Оценка трудовой деятельности по каждой профессии (виды работ) проводится в соответствии с показателями допустимой трудовой нагрузки (табл. 4).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3"/>
      </w:pPr>
      <w:r>
        <w:t>Таблица 4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r>
        <w:t>Показатели допустимой трудовой нагрузки</w:t>
      </w:r>
    </w:p>
    <w:p w:rsidR="00D27A65" w:rsidRDefault="00D27A6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726"/>
        <w:gridCol w:w="2324"/>
      </w:tblGrid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Допустимые уровни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</w:t>
            </w:r>
          </w:p>
        </w:tc>
      </w:tr>
      <w:tr w:rsidR="00D27A65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  <w:outlineLvl w:val="4"/>
            </w:pPr>
            <w:r>
              <w:t>Тяжесть трудового процесса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Физическая динамическая нагрузка за смену, кгм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При региональной нагрузке (с преимущественным участием мышц рук и плечевого пояса) при перемещении груза на расстояние до 1 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3000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При общей нагрузке (с участием мышц рук, корпуса, ног):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при перемещении груза на расстояние от 1 до 5 м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15000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Величина динамической работы, совершаемой в течение каждого часа рабочей смены при перемещении груза на расстояние от 1 до 5 м, не должна превышать, кгм: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рабочей поверхности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1750 </w:t>
            </w:r>
            <w:hyperlink w:anchor="Par419" w:tooltip="&lt;*&gt; В соответствии с Постановлением Совета Министров - Правительства Российской Федерации от 06.02.93 N 105 &quot;О новых нормах предельно допустимых нагрузок для женщин при подъеме и перемещении тяжестей вручную&quot;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27A65"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с пола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875 </w:t>
            </w:r>
            <w:hyperlink w:anchor="Par419" w:tooltip="&lt;*&gt; В соответствии с Постановлением Совета Министров - Правительства Российской Федерации от 06.02.93 N 105 &quot;О новых нормах предельно допустимых нагрузок для женщин при подъеме и перемещении тяжестей вручную&quot;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Масса поднимаемого перемещаемого груза вручную, кг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Степень механизации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Труд механизирован, работа с органами управления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Подъем и перемещение (разовое) тяжестей при чередовании с другой работой (до 2-х раз в час)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10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Подъем и перемещение (разовое) тяжестей постоянно в течение рабочей смены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7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Суммарная масса грузов, перемещаемых в течение каждого часа смены: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с рабочей поверхности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до 350</w:t>
            </w:r>
          </w:p>
        </w:tc>
      </w:tr>
      <w:tr w:rsidR="00D27A65"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с пола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до 175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Стереотипные рабочие движения (количество за смену)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При локальной нагрузке с участием мышц кистей и пальцев рук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40000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При региональной нагрузке (при работе с преимущественным участием мышц рук и плечевого пояса)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20000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Статистическая нагрузка</w:t>
            </w:r>
          </w:p>
          <w:p w:rsidR="00D27A65" w:rsidRDefault="00704EB8">
            <w:pPr>
              <w:pStyle w:val="ConsPlusNormal"/>
              <w:jc w:val="both"/>
            </w:pPr>
            <w:r>
              <w:t>Величина статистической нагрузки за смену при удержании груза, приложении усилий, кгс: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одной рукой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до 21600</w:t>
            </w:r>
          </w:p>
        </w:tc>
      </w:tr>
      <w:tr w:rsidR="00D27A65"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двумя руками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до 42000</w:t>
            </w:r>
          </w:p>
        </w:tc>
      </w:tr>
      <w:tr w:rsidR="00D27A65"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с участием мышц корпуса и ног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до 60000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Рабочая поза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Периодическое нахождение в неудобной позе (до 25% времени смены)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Наклоны корпуса (количество за смену)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Вынужденные наклоны (более 30°) до 100 раз за смену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Перемещение в пространстве (переходы, обусловленные технологическим процессом в течение смены), км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10</w:t>
            </w:r>
          </w:p>
        </w:tc>
      </w:tr>
      <w:tr w:rsidR="00D27A65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  <w:outlineLvl w:val="4"/>
            </w:pPr>
            <w:r>
              <w:t>Напряженность трудового процесса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Интеллектуальные нагрузки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Содержание работ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Решение простых альтернативных задач по инструкции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Восприятие сигналов (информации) и их оценка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Восприятие сигналов с последующей коррекцией действий и операций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Степень сложности задания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Обработка, выполнение задания и его проверка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Характер выполняемой работы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Работа по установленному графику с возможной его коррекцией по ходу деятельности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Сенсорные нагрузки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Длительность сосредоточенного наблюдения (в % от времени смены)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50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Плотность сигналов (световых, звуковых) и сообщений за 1 час работы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175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Число производственных объектов одновременного наблюдения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10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Нагрузка на зрительный анализатор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9.4.1.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Размер объекта размещения (при расстоянии от глаз работающего до объекта различения не более 0,5 м), мм при длительности сосредоточенного наблюдения (% времени смены)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5 - 1,1 мм более 50% времени;</w:t>
            </w:r>
          </w:p>
          <w:p w:rsidR="00D27A65" w:rsidRDefault="00704EB8">
            <w:pPr>
              <w:pStyle w:val="ConsPlusNormal"/>
              <w:jc w:val="center"/>
            </w:pPr>
            <w:r>
              <w:t>1 - 0,3 мм до 50%</w:t>
            </w:r>
          </w:p>
          <w:p w:rsidR="00D27A65" w:rsidRDefault="00704EB8">
            <w:pPr>
              <w:pStyle w:val="ConsPlusNormal"/>
              <w:jc w:val="center"/>
            </w:pPr>
            <w:r>
              <w:t>времени;</w:t>
            </w:r>
          </w:p>
          <w:p w:rsidR="00D27A65" w:rsidRDefault="00704EB8">
            <w:pPr>
              <w:pStyle w:val="ConsPlusNormal"/>
              <w:jc w:val="center"/>
            </w:pPr>
            <w:r>
              <w:t>менее 0,3 мм до 25% времени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9.4.2.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Работа с оптическими приборами (микроскопы, лупы и т.п.) при длительности сосредоточенного наблюдения (% времени смены)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50%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9.4.3.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Наблюдение за экранами видеотерминалов (часов в смену)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В соответствии с СанПиН </w:t>
            </w:r>
            <w:hyperlink r:id="rId27" w:history="1">
              <w:r>
                <w:rPr>
                  <w:color w:val="0000FF"/>
                </w:rPr>
                <w:t>2.2.2.542-96</w:t>
              </w:r>
            </w:hyperlink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Нагрузка на слуховой анализатор (при производственной необходимости восприятия речи или дифференцированных сигналов)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Разборчивость слов и сигналов от 90% до 70%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Эмоциональные нагрузки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Степень ответственности. Значимость ошибки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Несет ответственность за функциональное качество вспомогательных работ. Влечет за собой дополнительные усилия со стороны вышестоящего руководства (бригадира, мастера и т.п.)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Степень риска для собственной жизни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Исключена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Степень риска за безопасность других лиц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Исключена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Монотонность нагрузок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Число элементов (приемов), необходимых для реализации простого задания или в многократно повторяющихся операциях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9 - 6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Продолжительность выполнения простых производственных заданий или повторяющихся операций, сек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100 - 25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Режим работы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Фактическая продолжительность рабочего дня, ч.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8 - 9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Сменность работы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Двухсменная (без ночной смены)</w:t>
            </w:r>
          </w:p>
        </w:tc>
      </w:tr>
      <w:tr w:rsidR="00D27A65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ind w:firstLine="283"/>
              <w:jc w:val="both"/>
            </w:pPr>
            <w:bookmarkStart w:id="21" w:name="Par419"/>
            <w:bookmarkEnd w:id="21"/>
            <w:r>
              <w:t xml:space="preserve">&lt;*&gt; В соответствии с </w:t>
            </w:r>
            <w:hyperlink r:id="rId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Совета Министров - Правительства Российской Федерации от 06.02.93 N 105 "О новых нормах предельно допустимых нагрузок для женщин при подъеме и перемещении тяжестей вручную".</w:t>
            </w:r>
          </w:p>
        </w:tc>
      </w:tr>
    </w:tbl>
    <w:p w:rsidR="00D27A65" w:rsidRDefault="00D27A65">
      <w:pPr>
        <w:pStyle w:val="ConsPlusNormal"/>
        <w:ind w:firstLine="540"/>
        <w:jc w:val="both"/>
      </w:pPr>
    </w:p>
    <w:p w:rsidR="00D27A65" w:rsidRDefault="00704EB8">
      <w:pPr>
        <w:pStyle w:val="ConsPlusNormal"/>
        <w:ind w:firstLine="540"/>
        <w:jc w:val="both"/>
      </w:pPr>
      <w:r>
        <w:t>2.1.3. Для женщин предпочтительны стационарные рабочие места и работы, выполняемые в свободном режиме и позе, допускающей перемену положения по желанию. Нежелательна постоянная работа "стоя" и "сидя".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2.1.4. Нормирование трудовых нагрузок на женщин должно проводиться с учетом анатомо-физиологических и психологических возможностей женского организма и обеспечивать физиологические нормативы тяжести труда </w:t>
      </w:r>
      <w:hyperlink w:anchor="Par619" w:tooltip="ФИЗИОЛОГИЧЕСКИЕ НОРМАТИВЫ ФИЗИЧЕСКОГО НАПРЯЖЕНИЯ ПРИ ТРУДЕ" w:history="1">
        <w:r>
          <w:rPr>
            <w:color w:val="0000FF"/>
          </w:rPr>
          <w:t>(приложение 1).</w:t>
        </w:r>
      </w:hyperlink>
    </w:p>
    <w:p w:rsidR="00D27A65" w:rsidRDefault="00704EB8">
      <w:pPr>
        <w:pStyle w:val="ConsPlusNormal"/>
        <w:spacing w:before="240"/>
        <w:ind w:firstLine="540"/>
        <w:jc w:val="both"/>
      </w:pPr>
      <w:r>
        <w:t>2.1.5. Женщины, работающие в производстве, должны быть обеспечены спецодеждой, обувью и защитными приспособлениями в соответствии с действующими типовыми нормами. Выбор средств (видов и групп) индивидуальной защиты по назначению должен осуществляться в зависимости от условий труда на производственных участках.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2.1.6. При несоответствии условий труда допустимым нормативам планирование и осуществление мероприятий по их оздоровлению необходимо проводить в первую очередь на рабочих местах и в профессиях, занимаемых женщинами детородного возраста и имеющими отклонения в состоянии здоровья.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  <w:outlineLvl w:val="1"/>
      </w:pPr>
      <w:r>
        <w:t>3. Требования к помещениям для обслуживания</w:t>
      </w:r>
    </w:p>
    <w:p w:rsidR="00D27A65" w:rsidRDefault="00704EB8">
      <w:pPr>
        <w:pStyle w:val="ConsPlusNormal"/>
        <w:jc w:val="center"/>
      </w:pPr>
      <w:r>
        <w:t>работающих женщин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3.1. При проектировании производственных объектов, где будет использоваться труд женщин, необходимо предусматривать санитарно-бытовые помещения, специализированные комплексы медицинской профилактики, социально-трудовой реабилитации и оздоровительного назначения в соответствии с Санитарными нормами проектирования промышленных предприятий и СНИН "Вспомогательные здания и помещения промышленных предприятий".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  <w:outlineLvl w:val="1"/>
      </w:pPr>
      <w:bookmarkStart w:id="22" w:name="Par431"/>
      <w:bookmarkEnd w:id="22"/>
      <w:r>
        <w:t xml:space="preserve">4. Требования к </w:t>
      </w:r>
      <w:hyperlink r:id="rId29" w:history="1">
        <w:r>
          <w:rPr>
            <w:color w:val="0000FF"/>
          </w:rPr>
          <w:t>условиям труда</w:t>
        </w:r>
      </w:hyperlink>
      <w:r>
        <w:t xml:space="preserve"> женщин в период беременности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  <w:outlineLvl w:val="2"/>
      </w:pPr>
      <w:r>
        <w:t>4.1. Технологические операции, оборудование,</w:t>
      </w:r>
    </w:p>
    <w:p w:rsidR="00D27A65" w:rsidRDefault="00704EB8">
      <w:pPr>
        <w:pStyle w:val="ConsPlusNormal"/>
        <w:jc w:val="center"/>
      </w:pPr>
      <w:r>
        <w:t>производственная среда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 xml:space="preserve">4.1.1. Технологические процессы и оборудование, предназначенные для труда беременных женщин, не должны быть источником повышенных уровней физических, химических, биологических и психофизиологических факторов. При выборе технологических операций для их труда следует предусматривать такие величины физических нагрузок, которые являются допустимыми для беременных </w:t>
      </w:r>
      <w:hyperlink w:anchor="Par441" w:tooltip="Допустимые величины физических нагрузок" w:history="1">
        <w:r>
          <w:rPr>
            <w:color w:val="0000FF"/>
          </w:rPr>
          <w:t>(табл. 5).</w:t>
        </w:r>
      </w:hyperlink>
      <w:r>
        <w:t xml:space="preserve"> Нормативы рассчитаны на основании норм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Совета Министров - Правительства Российской Федерации от 06.02.93 N 105 "О новых нормах и предельно допустимых нагрузок для женщин при подъеме и перемещении тяжестей вручную".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4.1.2. Беременные женщины не должны выполнять производственные операции, связанные с подъемом предметов труда выше уровня плечевого пояса, подъемом предметов труда с пола, преобладанием статического напряжения мышц ног и брюшного пресса, вынужденной рабочей позой (на корточках, на коленях, согнувшись, упором животом и грудью в оборудование и предметы труда), наклоном туловища более 15°. Для беременных женщин должны быть исключены работы на оборудовании, использующем ножную педаль управления, на конвейере с принудительным ритмом работы, сопровождающиеся нервно-эмоциональным напряжением.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3"/>
      </w:pPr>
      <w:r>
        <w:t>Таблица 5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bookmarkStart w:id="23" w:name="Par441"/>
      <w:bookmarkEnd w:id="23"/>
      <w:r>
        <w:t>Допустимые величины физических нагрузок</w:t>
      </w:r>
    </w:p>
    <w:p w:rsidR="00D27A65" w:rsidRDefault="00704EB8">
      <w:pPr>
        <w:pStyle w:val="ConsPlusNormal"/>
        <w:jc w:val="center"/>
      </w:pPr>
      <w:r>
        <w:t>для беременных женщин</w:t>
      </w:r>
    </w:p>
    <w:p w:rsidR="00D27A65" w:rsidRDefault="00D27A6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63"/>
        <w:gridCol w:w="2098"/>
      </w:tblGrid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Характер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Масса груза, кг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Подъем и перемещение тяжестей при чередовании с другой работой (до 2-х раз в час)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2,5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Подъем и перемещение тяжестей постоянно в течение рабочей смены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1,25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Суммарная масса грузов, перемещаемых в течение каждого часа рабочей смены на расстоянии до 5 м, не должна превышать: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с рабочей поверхности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60</w:t>
            </w:r>
          </w:p>
        </w:tc>
      </w:tr>
      <w:tr w:rsidR="00D27A65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с пола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подъем с пола не допускается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Суммарная масса грузов, перемещаемых за 8-ми часовую рабочую смену, составляет: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с рабочей поверхности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480</w:t>
            </w:r>
          </w:p>
        </w:tc>
      </w:tr>
      <w:tr w:rsidR="00D27A6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ind w:firstLine="283"/>
              <w:jc w:val="both"/>
            </w:pPr>
            <w:r>
              <w:t>Примечание: в массу поднимаемого и перемещаемого груза включаются масса тары и упаковки.</w:t>
            </w:r>
          </w:p>
        </w:tc>
      </w:tr>
    </w:tbl>
    <w:p w:rsidR="00D27A65" w:rsidRDefault="00D27A65">
      <w:pPr>
        <w:pStyle w:val="ConsPlusNormal"/>
        <w:ind w:firstLine="540"/>
        <w:jc w:val="both"/>
      </w:pPr>
    </w:p>
    <w:p w:rsidR="00D27A65" w:rsidRDefault="00704EB8">
      <w:pPr>
        <w:pStyle w:val="ConsPlusNormal"/>
        <w:ind w:firstLine="540"/>
        <w:jc w:val="both"/>
      </w:pPr>
      <w:r>
        <w:t xml:space="preserve">4.1.3. Технологические операции, подходящие для выполнения беременными женщинами, выбираются из числа имеющихся на предприятии (или не свойственных данному предприятию), при условии, что они удовлетворяют показателям допустимой трудовой нагрузки, приведенным в </w:t>
      </w:r>
      <w:hyperlink w:anchor="Par479" w:tooltip="Показатели допустимой трудовой нагрузки для женщин" w:history="1">
        <w:r>
          <w:rPr>
            <w:color w:val="0000FF"/>
          </w:rPr>
          <w:t>табл. 6.</w:t>
        </w:r>
      </w:hyperlink>
      <w:r>
        <w:t xml:space="preserve"> К таким работам могут быть отнесены легкие операции по сборке, сортировке, упаковке, удовлетворяющие гигиеническим требованиям к трудовому процессу, организации рабочего места и производственной среде, приведенным в </w:t>
      </w:r>
      <w:hyperlink w:anchor="Par441" w:tooltip="Допустимые величины физических нагрузок" w:history="1">
        <w:r>
          <w:rPr>
            <w:color w:val="0000FF"/>
          </w:rPr>
          <w:t>табл. 5,</w:t>
        </w:r>
      </w:hyperlink>
      <w:r>
        <w:t xml:space="preserve"> </w:t>
      </w:r>
      <w:hyperlink w:anchor="Par479" w:tooltip="Показатели допустимой трудовой нагрузки для женщин" w:history="1">
        <w:r>
          <w:rPr>
            <w:color w:val="0000FF"/>
          </w:rPr>
          <w:t>6,</w:t>
        </w:r>
      </w:hyperlink>
      <w:r>
        <w:t xml:space="preserve"> </w:t>
      </w:r>
      <w:hyperlink w:anchor="Par529" w:tooltip="Гигиенические показатели оптимальных условий" w:history="1">
        <w:r>
          <w:rPr>
            <w:color w:val="0000FF"/>
          </w:rPr>
          <w:t>7.</w:t>
        </w:r>
      </w:hyperlink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4.1.4. При оценке параметров производственной среды на рабочих местах беременных следует руководствоваться гигиеническими показателями оптимальных условий производственной среды </w:t>
      </w:r>
      <w:hyperlink w:anchor="Par529" w:tooltip="Гигиенические показатели оптимальных условий" w:history="1">
        <w:r>
          <w:rPr>
            <w:color w:val="0000FF"/>
          </w:rPr>
          <w:t>(табл. 7)</w:t>
        </w:r>
      </w:hyperlink>
      <w:r>
        <w:t>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4.1.5. Не допускаются беременные женщины к выполнению работ, связанных с воздействием возбудителей инфекционных, паразитарных и грибковых заболеваний.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4.1.6. Беременные женщины не должны трудиться в условиях воздействия инфракрасного излучения. Температура нагретых поверхностей оборудования и ограждений в рабочей зоне не должна превышать 35 °C.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4.1.7. Для беременных женщин исключаются виды деятельности, связанные с намоканием одежды и обуви, работы на сквозняке.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4.1.8. Для женщин в период беременности запрещается работа в условиях резких перепадов барометрического давления (летный состав, бортпроводницы, персонал барокамер и др.).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3"/>
      </w:pPr>
      <w:r>
        <w:t>Таблица 6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bookmarkStart w:id="24" w:name="Par479"/>
      <w:bookmarkEnd w:id="24"/>
      <w:r>
        <w:t>Показатели допустимой трудовой нагрузки для женщин</w:t>
      </w:r>
    </w:p>
    <w:p w:rsidR="00D27A65" w:rsidRDefault="00704EB8">
      <w:pPr>
        <w:pStyle w:val="ConsPlusNormal"/>
        <w:jc w:val="center"/>
      </w:pPr>
      <w:r>
        <w:t>в период беременности</w:t>
      </w:r>
    </w:p>
    <w:p w:rsidR="00D27A65" w:rsidRDefault="00D27A6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93"/>
        <w:gridCol w:w="2268"/>
      </w:tblGrid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Показатель трудовой нагрузки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Уровни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Степень механизации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Труд полностью механизирован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Рабочая поза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Свободная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Ходьба за смену, 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до 2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Характер рабочих движений руками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Простые стереотипные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Темп движений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Свободный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Число рабочих операций в течение смены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 и более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Продолжительность выполнения повторяющихся операций, сек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100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Длительность сосредоточенного наблюдения, в % времени смены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25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Плотность сообщений, сигналов в среднем за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60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Размер объекта зрительного различения (категория зрительных 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более 5 мм, работа малоточная, грубая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Сменность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Утренняя</w:t>
            </w:r>
          </w:p>
        </w:tc>
      </w:tr>
    </w:tbl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4.1.9. Работа беременных женщин в безоконных и бесфонарных помещениях, т.е. без естественного света, не допускается.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4.1.10. Женщины со дня установления беременности и в период кормления ребенка грудью к выполнению всех видов работ, профессионально связанных с использованием видеодисплейных терминалов и персональных электронно-вычислительных машин, не допускаются.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  <w:outlineLvl w:val="2"/>
      </w:pPr>
      <w:r>
        <w:t>4.2. Требования к организации рабочего места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4.2.1. Для беременных женщин должны оборудоваться стационарные рабочие места для возможности выполнения трудовых операций в свободном режиме и позе, допускающей перемену положения по желанию. Постоянная работа сидя, стоя, перемещаясь (ходьба) исключается.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4.2.2. Рабочее место беременной женщины оборудуется специальным вращающимся стулом, имеющим регулируемые по высоте спинку, подголовник, поясничный валик, подлокотники и сиденье. Спинка стула регулируется по углу наклона в зависимости от срока беременности и режима труда и отдыха. Сиденье и спинка должны быть покрыты полумягким нескользящим материалом, который легко подвергается санитарной обработке. Основные параметры рабочего стула указаны в ГОСТе 21.889-76.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3"/>
      </w:pPr>
      <w:r>
        <w:t>Таблица 7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bookmarkStart w:id="25" w:name="Par529"/>
      <w:bookmarkEnd w:id="25"/>
      <w:r>
        <w:t>Гигиенические показатели оптимальных условий</w:t>
      </w:r>
    </w:p>
    <w:p w:rsidR="00D27A65" w:rsidRDefault="00704EB8">
      <w:pPr>
        <w:pStyle w:val="ConsPlusNormal"/>
        <w:jc w:val="center"/>
      </w:pPr>
      <w:r>
        <w:t>производственной среды</w:t>
      </w:r>
    </w:p>
    <w:p w:rsidR="00D27A65" w:rsidRDefault="00D27A6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2665"/>
      </w:tblGrid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Вредный фактор производственной среды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Оптимальные уровни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Вредные химические вещества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Отсутствие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Промышленные аэрозоли преимущественно фиброгенного и смешанного типа действия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Отсутствие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Вибрация (общая и локальная)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Отсутствие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Шум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50 - 60 дБА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Ультразвук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Отсутствие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Инфразвук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Естественный фон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Неионизирующее излучение: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электрическое поле промышленной частоты 50 Гц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0,5 кВ/м</w:t>
            </w:r>
          </w:p>
        </w:tc>
      </w:tr>
      <w:tr w:rsidR="00D27A6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- электромагнитное излучение радиочастотного диапазона: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0,01 - 3 Гц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 В/м</w:t>
            </w:r>
          </w:p>
        </w:tc>
      </w:tr>
      <w:tr w:rsidR="00D27A6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3 - 30 Гц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 В/м</w:t>
            </w:r>
          </w:p>
        </w:tc>
      </w:tr>
      <w:tr w:rsidR="00D27A6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30 Гц - 300 МГц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 В/м</w:t>
            </w:r>
          </w:p>
        </w:tc>
      </w:tr>
      <w:tr w:rsidR="00D27A6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300 МГц - 300 ГГц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 мкВ/см</w:t>
            </w:r>
            <w:r>
              <w:rPr>
                <w:vertAlign w:val="superscript"/>
              </w:rPr>
              <w:t>2</w:t>
            </w:r>
          </w:p>
        </w:tc>
      </w:tr>
      <w:tr w:rsidR="00D27A65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- постоянные электрические и магнитные поля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естественный фон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Ионизирующее излучение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Естественный фон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Микроклимат в помещении при условии выполнения легкой работы категории 1а:</w:t>
            </w:r>
          </w:p>
          <w:p w:rsidR="00D27A65" w:rsidRDefault="00704EB8">
            <w:pPr>
              <w:pStyle w:val="ConsPlusNormal"/>
            </w:pPr>
            <w:r>
              <w:t>Температура воздуха, °C: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холодный период года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22 - 24</w:t>
            </w:r>
          </w:p>
        </w:tc>
      </w:tr>
      <w:tr w:rsidR="00D27A6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теплый период года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23 - 25</w:t>
            </w:r>
          </w:p>
        </w:tc>
      </w:tr>
      <w:tr w:rsidR="00D27A6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Относительная влажность, %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40 - 60</w:t>
            </w:r>
          </w:p>
        </w:tc>
      </w:tr>
      <w:tr w:rsidR="00D27A65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Скорость движения воздуха, м/сек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0,1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Атмосферное давление, мм над уровнем моря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Естественный фон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Биологические факторы (микроорганизмы, гормональные и белковые препараты; аминокислоты, витамины и другие естественные компоненты организма)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Естественный фон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Освещенность, лк</w:t>
            </w:r>
          </w:p>
          <w:p w:rsidR="00D27A65" w:rsidRDefault="00704EB8">
            <w:pPr>
              <w:pStyle w:val="ConsPlusNormal"/>
            </w:pPr>
            <w:r>
              <w:t>(комбинированная система освещения)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Оптимальные величины действующих гигиенических нормативов</w:t>
            </w:r>
          </w:p>
        </w:tc>
      </w:tr>
    </w:tbl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4.2.3. Следует предусмотреть наличие подставки для ног, регулируемой по высоте и углу наклона, имеющей рифленую поверхность.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4.2.4. Рабочая поверхность стола должна иметь вырез в столешнице для корпуса, округленные углы и матовое покрытие во избежание отраженной блесткости.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4.2.5. Рабочий стол, производственное оборудование должны иметь пространство для ног: высотой не менее 600 мм, шириной не менее 500 - 600 мм, глубиной не менее 450 мм на уровне колен и не менее 650 мм на уровне ступеней.</w:t>
      </w: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0"/>
      </w:pPr>
      <w:r>
        <w:t>Приложение 1</w:t>
      </w:r>
    </w:p>
    <w:p w:rsidR="00D27A65" w:rsidRDefault="00D27A65">
      <w:pPr>
        <w:pStyle w:val="ConsPlusNormal"/>
        <w:jc w:val="right"/>
      </w:pPr>
    </w:p>
    <w:p w:rsidR="00D27A65" w:rsidRDefault="00704EB8">
      <w:pPr>
        <w:pStyle w:val="ConsPlusNormal"/>
        <w:jc w:val="right"/>
      </w:pPr>
      <w:r>
        <w:t>(справочное)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bookmarkStart w:id="26" w:name="Par619"/>
      <w:bookmarkEnd w:id="26"/>
      <w:r>
        <w:t>ФИЗИОЛОГИЧЕСКИЕ НОРМАТИВЫ ФИЗИЧЕСКОГО НАПРЯЖЕНИЯ ПРИ ТРУДЕ</w:t>
      </w:r>
    </w:p>
    <w:p w:rsidR="00D27A65" w:rsidRDefault="00D27A6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35"/>
        <w:gridCol w:w="1077"/>
        <w:gridCol w:w="1077"/>
        <w:gridCol w:w="794"/>
        <w:gridCol w:w="1077"/>
      </w:tblGrid>
      <w:tr w:rsidR="00D27A6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Критерии напряжения организма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Допустимые величины</w:t>
            </w:r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Виды работ</w:t>
            </w:r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локальная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региональная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общая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с неблагоприятными статическими нагрузками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Частота сердечных сокращений в 1 мин при работе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не более 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90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Энергозатраты, ккал.мин. при работе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Минутный объем дыхания (ТР), л/мин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Кожно-легочные влагопотери, г/ч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250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Снижение статической выносливости при усилии в 0,75 максимальной силы мышц, %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не более 20</w:t>
            </w:r>
          </w:p>
        </w:tc>
      </w:tr>
      <w:tr w:rsidR="00D27A65"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Примечания:</w:t>
            </w:r>
          </w:p>
          <w:p w:rsidR="00D27A65" w:rsidRDefault="00704EB8">
            <w:pPr>
              <w:pStyle w:val="ConsPlusNormal"/>
              <w:jc w:val="both"/>
            </w:pPr>
            <w:r>
              <w:t>1. Величины частоты ударов сердечных сокращений при общей работе следует принимать ниже на 5 ударов в 1 мин для лиц старше 30 лет и на 10 ударов в 1 мин для лиц старше 40 лет. При региональной и локальной работах соответствующие для указанных возрастных групп поправки составляют 3 и 7.</w:t>
            </w:r>
          </w:p>
          <w:p w:rsidR="00D27A65" w:rsidRDefault="00704EB8">
            <w:pPr>
              <w:pStyle w:val="ConsPlusNormal"/>
              <w:jc w:val="both"/>
            </w:pPr>
            <w:r>
              <w:t>2. При общей работе в комбинации с тепловой нагрузкой величины частоты сердечных сокращений надо принимать ниже приведенных на 5 ударов в 1 мин.</w:t>
            </w:r>
          </w:p>
          <w:p w:rsidR="00D27A65" w:rsidRDefault="00704EB8">
            <w:pPr>
              <w:pStyle w:val="ConsPlusNormal"/>
              <w:jc w:val="both"/>
            </w:pPr>
            <w:r>
              <w:t>3. Энерготраты, минутный объем дыхания и влагопотери даны для людей весом 70 кг. Для приведения полученных данных к этой величине их надо разделить на средний вес обследуемого и умножить на 70.</w:t>
            </w:r>
          </w:p>
          <w:p w:rsidR="00D27A65" w:rsidRDefault="00704EB8">
            <w:pPr>
              <w:pStyle w:val="ConsPlusNormal"/>
              <w:jc w:val="both"/>
            </w:pPr>
            <w:r>
              <w:t>4. Работа:</w:t>
            </w:r>
          </w:p>
          <w:p w:rsidR="00D27A65" w:rsidRDefault="00704EB8">
            <w:pPr>
              <w:pStyle w:val="ConsPlusNormal"/>
              <w:jc w:val="both"/>
            </w:pPr>
            <w:r>
              <w:t>общая - с участием мышц нижних конечностей и туловища;</w:t>
            </w:r>
          </w:p>
          <w:p w:rsidR="00D27A65" w:rsidRDefault="00704EB8">
            <w:pPr>
              <w:pStyle w:val="ConsPlusNormal"/>
              <w:jc w:val="both"/>
            </w:pPr>
            <w:r>
              <w:t>региональная - с преимущественным участием мышц плечевого пояса;</w:t>
            </w:r>
          </w:p>
          <w:p w:rsidR="00D27A65" w:rsidRDefault="00704EB8">
            <w:pPr>
              <w:pStyle w:val="ConsPlusNormal"/>
              <w:jc w:val="both"/>
            </w:pPr>
            <w:r>
              <w:t>локальная - связанная с мелкими стереотипными движениями кистей и пальцев рук.</w:t>
            </w:r>
          </w:p>
        </w:tc>
      </w:tr>
    </w:tbl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0"/>
      </w:pPr>
      <w:r>
        <w:t>Приложение 2</w:t>
      </w:r>
    </w:p>
    <w:p w:rsidR="00D27A65" w:rsidRDefault="00D27A65">
      <w:pPr>
        <w:pStyle w:val="ConsPlusNormal"/>
        <w:jc w:val="right"/>
      </w:pPr>
    </w:p>
    <w:p w:rsidR="00D27A65" w:rsidRDefault="00704EB8">
      <w:pPr>
        <w:pStyle w:val="ConsPlusNormal"/>
        <w:jc w:val="right"/>
      </w:pPr>
      <w:r>
        <w:t>(справочное)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bookmarkStart w:id="27" w:name="Par670"/>
      <w:bookmarkEnd w:id="27"/>
      <w:r>
        <w:t>ПЕРЕЧЕНЬ</w:t>
      </w:r>
    </w:p>
    <w:p w:rsidR="00D27A65" w:rsidRDefault="00704EB8">
      <w:pPr>
        <w:pStyle w:val="ConsPlusNormal"/>
        <w:jc w:val="center"/>
      </w:pPr>
      <w:r>
        <w:t>ПОТЕНЦИАЛЬНО ОПАСНЫХ ХИМИЧЕСКИХ ВЕЩЕСТВ ПО ДЕЙСТВИЮ</w:t>
      </w:r>
    </w:p>
    <w:p w:rsidR="00D27A65" w:rsidRDefault="00704EB8">
      <w:pPr>
        <w:pStyle w:val="ConsPlusNormal"/>
        <w:jc w:val="center"/>
      </w:pPr>
      <w:r>
        <w:t>НА РЕПРОДУКТИВНУЮ ФУНКЦИЮ &lt;*&gt;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--------------------------------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&lt;*&gt; Включены химические вещества, обладающие опасным воздействием на гонады и/или эмбрион (по данным клинических и экспериментальных исследований).</w:t>
      </w:r>
    </w:p>
    <w:p w:rsidR="00D27A65" w:rsidRDefault="00D27A65">
      <w:pPr>
        <w:pStyle w:val="ConsPlusNormal"/>
      </w:pPr>
    </w:p>
    <w:p w:rsidR="00D27A65" w:rsidRDefault="00D27A65">
      <w:pPr>
        <w:pStyle w:val="ConsPlusNormal"/>
        <w:sectPr w:rsidR="00D27A65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05"/>
        <w:gridCol w:w="624"/>
        <w:gridCol w:w="4819"/>
      </w:tblGrid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Название вещества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Название вещества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Акриламид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Теобромин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Акролеин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Теофиллин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6-аминоникотинамид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Тестостерон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Ангидрид селенистый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Тетраметилтиурамдисульфид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Анилин и его производные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Тетрахлорбутан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Антибиотики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Тетрахлорбутадиен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Анестезирующие газы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Тетраэтилсвинец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Антикоагулянты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Тиоацетамид и его производные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Ацетамид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Тиоурацил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Ацетон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Толуол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Барбитал и барбитал натрия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Третбутилпирацетат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Барий и его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Требутилпербензоат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Бензин-растворитель топливный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Трикрезилфосфат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Бензол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Трикрезол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Бензапирен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1,5,5-триметилциклогексанон-3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Бериллий и его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3,5-триметилциклогексанон-3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Бор и его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2,4,6-тринитроанизол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Бутиламид бензосульфокислоты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Тринитротолуол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Бутилметакрилат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2,4,6-тринитрофенол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Винила хлорид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Трифенилфосфат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Гексахлорбензол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Трифтазин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Героин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М-трифторметилфенилизоцианат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Гидразин и его производные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Трифторхлорпропан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Гидроперекись изопропилбензола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1,1,3-трихлорацетон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Гормональные препараты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1,2,3-трихлорбутен-3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Дибутилфталат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Трихлорсикад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1,3 бутадиен (дивинил)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Трихлортриазин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Дидодецилфталат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Меди трихлорфенолят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Диметилацетамид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Трихлорэтилен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2,6 диметилгидрохинон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Триэтоксисилан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4,4 диметилоксан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Три-(2-этилгексил) фосфат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Диметилсульфат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Карбонат тройной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Диметилперефталат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Уран (растворимые и нерастворимые соединения)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Диметилформамид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нн-М-фенилендималеимид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Диметилфталат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Фенол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Динитрил перфторадипиновой кислоты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Формальдегид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Динитрил перфторглюмаровой кислоты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Формамид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Динитробензол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Водород фосфористый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Диоксан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Фосфор пятихлористый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Дисульфид и метилпантоил-В-аминоэтил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Фосфор треххлористый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1,3-дихлорбутен-2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Фосфора хлорокись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Диэтилацетамид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Фторацетамид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Диэтилфталат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Фторотан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Кадмий и его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Фуран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Капролактам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Фуриловый спирт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Каптакс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Фурфуриалиден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Карбатион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Фурфурол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Ксантогенаты калия, натрия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Хинин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Ксилол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4-хлорбензофенон-2-карбоновой кислоты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Люминофоры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Хлористый 5-этоксифенил-1,2-ти азтионий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Марганец и его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Хлорметилтрихлорсилан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Медь и ее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Хлоропрен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Метацил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Хлороформ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Метилацетамид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II-хлорфенол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Монофурфурилиденацетон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2-хлорэтансульфохлорид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Моноэтаноламин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Хроматы, биохроматы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Морфолин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Циклогексан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В-нафтол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Циклогексанон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А-нафтохинон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Циклогексанолоксим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Никотинамид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Циклогексиламин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Нитросоединения бензола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Эпихлоргидрин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Нитрофураны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Этилена оксид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Пахикарпин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Этиленимин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Пестициды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Этилмеркурфосфат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Пиперидин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2-этилгексилдифенилфосфат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Пиримидина производные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Эуфиллин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Раувольфия и ее препараты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Уретаны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Ртуть и ее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Ацетилсалициловая кислота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Свинец и его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Амила бромид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Селен и его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Бутила бромид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Сероуглерод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Гексила бромид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Стирол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Дибутилфенилфосфат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Стронций азотнокислый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Эпоксидных смол летучие продукты УП-650 и УП-650Т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Стронция окись и гидроокись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Эпокситрифенольной смолы летучие продукты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Сурьма и ее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Метила дихлорид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Табак, пыль, летучие вещества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2-метилфуран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Талодомид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Трибутилфосфат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Талий и его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Кислота феноксиуксусная</w:t>
            </w:r>
          </w:p>
        </w:tc>
      </w:tr>
    </w:tbl>
    <w:p w:rsidR="00D27A65" w:rsidRDefault="00D27A65">
      <w:pPr>
        <w:pStyle w:val="ConsPlusNormal"/>
        <w:sectPr w:rsidR="00D27A65">
          <w:headerReference w:type="default" r:id="rId31"/>
          <w:footerReference w:type="default" r:id="rId3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0"/>
      </w:pPr>
      <w:r>
        <w:t>Приложение 3</w:t>
      </w:r>
    </w:p>
    <w:p w:rsidR="00D27A65" w:rsidRDefault="00D27A65">
      <w:pPr>
        <w:pStyle w:val="ConsPlusNormal"/>
        <w:jc w:val="right"/>
      </w:pPr>
    </w:p>
    <w:p w:rsidR="00D27A65" w:rsidRDefault="00704EB8">
      <w:pPr>
        <w:pStyle w:val="ConsPlusNormal"/>
        <w:jc w:val="right"/>
      </w:pPr>
      <w:r>
        <w:t>(справочное)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bookmarkStart w:id="28" w:name="Par1002"/>
      <w:bookmarkEnd w:id="28"/>
      <w:r>
        <w:t>ПЕРЕЧЕНЬ</w:t>
      </w:r>
    </w:p>
    <w:p w:rsidR="00D27A65" w:rsidRDefault="00704EB8">
      <w:pPr>
        <w:pStyle w:val="ConsPlusNormal"/>
        <w:jc w:val="center"/>
      </w:pPr>
      <w:r>
        <w:t>ПРОМЫШЛЕННЫХ АЭРОЗОЛЕЙ ПРЕИМУЩЕСТВЕННО ФИБРОГЕННОГО</w:t>
      </w:r>
    </w:p>
    <w:p w:rsidR="00D27A65" w:rsidRDefault="00704EB8">
      <w:pPr>
        <w:pStyle w:val="ConsPlusNormal"/>
        <w:jc w:val="center"/>
      </w:pPr>
      <w:r>
        <w:t>ТИПА ДЕЙСТВИЯ</w:t>
      </w:r>
    </w:p>
    <w:p w:rsidR="00D27A65" w:rsidRDefault="00D27A6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Наименование вещества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Кремний диоксид (кремнезем) кристаллический (кварц, кристобалит, тридимид, кварцит, динас, графит, шамот, слюда-сырец, медно-сульфидные руды и т.д.)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Кремний диоксид аморфный в виде аэрозолей конденсации и дезинтеграции (диатомит, кварцевое стекло, плавленый кварц, трепел и т.д.)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Кремний карбид (волокнистые кристаллы)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Силикатсодержащие пыли, силикаты, алюмосиликаты:</w:t>
            </w:r>
          </w:p>
          <w:p w:rsidR="00D27A65" w:rsidRDefault="00704EB8">
            <w:pPr>
              <w:pStyle w:val="ConsPlusNormal"/>
              <w:jc w:val="both"/>
            </w:pPr>
            <w:r>
              <w:t>а) асбесты природные (хризотил, антофиллит, актинолит, тремолит, магнезиарфведсонит) и синтетические асбесты, а также асбестопородные пыли;</w:t>
            </w:r>
          </w:p>
          <w:p w:rsidR="00D27A65" w:rsidRDefault="00704EB8">
            <w:pPr>
              <w:pStyle w:val="ConsPlusNormal"/>
              <w:jc w:val="both"/>
            </w:pPr>
            <w:r>
              <w:t>б) асбестоцемент неокрашенный и цветной при содержании в нем диоксида марганца не более 5%, оксида хрома - не более 7%, оксида железа - не более 10%;</w:t>
            </w:r>
          </w:p>
          <w:p w:rsidR="00D27A65" w:rsidRDefault="00704EB8">
            <w:pPr>
              <w:pStyle w:val="ConsPlusNormal"/>
            </w:pPr>
            <w:r>
              <w:t>в) асбестобакемет, асбесторезина;</w:t>
            </w:r>
          </w:p>
          <w:p w:rsidR="00D27A65" w:rsidRDefault="00704EB8">
            <w:pPr>
              <w:pStyle w:val="ConsPlusNormal"/>
            </w:pPr>
            <w:r>
              <w:t>г) слюда (флагопит, мусковит), тальк, талькопородные пыли;</w:t>
            </w:r>
          </w:p>
          <w:p w:rsidR="00D27A65" w:rsidRDefault="00704EB8">
            <w:pPr>
              <w:pStyle w:val="ConsPlusNormal"/>
            </w:pPr>
            <w:r>
              <w:t>д) цемент, оливин, апатит, глина, шамот каолиновый;</w:t>
            </w:r>
          </w:p>
          <w:p w:rsidR="00D27A65" w:rsidRDefault="00704EB8">
            <w:pPr>
              <w:pStyle w:val="ConsPlusNormal"/>
              <w:jc w:val="both"/>
            </w:pPr>
            <w:r>
              <w:t>е) силикаты стеклообразные вулканического происхождения (туфы, пемза, перлит);</w:t>
            </w:r>
          </w:p>
          <w:p w:rsidR="00D27A65" w:rsidRDefault="00704EB8">
            <w:pPr>
              <w:pStyle w:val="ConsPlusNormal"/>
            </w:pPr>
            <w:r>
              <w:t>ж) цеолиты (природные и искусственные);</w:t>
            </w:r>
          </w:p>
          <w:p w:rsidR="00D27A65" w:rsidRDefault="00704EB8">
            <w:pPr>
              <w:pStyle w:val="ConsPlusNormal"/>
              <w:jc w:val="both"/>
            </w:pPr>
            <w:r>
              <w:t>з) дуниты и изготавливаемые из них магнезиальносиликатные (форстериотовые) огнеупоры;</w:t>
            </w:r>
          </w:p>
          <w:p w:rsidR="00D27A65" w:rsidRDefault="00704EB8">
            <w:pPr>
              <w:pStyle w:val="ConsPlusNormal"/>
            </w:pPr>
            <w:r>
              <w:t>и) пыль стекла и стеклянных строительных материалов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Искусственные минеральные волокна, силикатные стеклообразной структуры (стекловолокно, стекловата, вата минеральная и шлаковая, муллитокремнеземистые, базальтовые)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Аэрозоли металлов и их силикатов, образующиеся в процессе сухой шлифовки, напыления, получения металлических порошков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Углерода пыли:</w:t>
            </w:r>
          </w:p>
          <w:p w:rsidR="00D27A65" w:rsidRDefault="00704EB8">
            <w:pPr>
              <w:pStyle w:val="ConsPlusNormal"/>
            </w:pPr>
            <w:r>
              <w:t>а) коксы каменноугольный, пековый, нефтяной, сланцевый;</w:t>
            </w:r>
          </w:p>
          <w:p w:rsidR="00D27A65" w:rsidRDefault="00704EB8">
            <w:pPr>
              <w:pStyle w:val="ConsPlusNormal"/>
            </w:pPr>
            <w:r>
              <w:t>б) антрацит и другие ископаемые угли;</w:t>
            </w:r>
          </w:p>
          <w:p w:rsidR="00D27A65" w:rsidRDefault="00704EB8">
            <w:pPr>
              <w:pStyle w:val="ConsPlusNormal"/>
              <w:jc w:val="both"/>
            </w:pPr>
            <w:r>
              <w:t>в) углепородные пыли с содержанием свободного диоксида кремния от 5 до 10%;</w:t>
            </w:r>
          </w:p>
          <w:p w:rsidR="00D27A65" w:rsidRDefault="00704EB8">
            <w:pPr>
              <w:pStyle w:val="ConsPlusNormal"/>
              <w:jc w:val="both"/>
            </w:pPr>
            <w:r>
              <w:t>г) алмазы природные и искусственные, в т.ч. алмаз металлизированный;</w:t>
            </w:r>
          </w:p>
          <w:p w:rsidR="00D27A65" w:rsidRDefault="00704EB8">
            <w:pPr>
              <w:pStyle w:val="ConsPlusNormal"/>
              <w:jc w:val="both"/>
            </w:pPr>
            <w:r>
              <w:t>д) сажи черные промышленные с содержанием бенз(а)пирена не более 35 мг/кг;</w:t>
            </w:r>
          </w:p>
          <w:p w:rsidR="00D27A65" w:rsidRDefault="00704EB8">
            <w:pPr>
              <w:pStyle w:val="ConsPlusNormal"/>
              <w:jc w:val="both"/>
            </w:pPr>
            <w:r>
              <w:t>е) углеродные волокнистые материалы на основе гидратцеллюлозных и полиакрилонитрильных волокон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Пыль растительного и животного происхождения (хлопка, льна, конопли, кенафа, джута, зерна, табака, древесины, торфа, хмеля, бумаги, шерсти, пуха, натурального шелка и др.)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Пыль неорганических люминофоров, в т.ч. с содержанием кадмия менее 5%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Сварочные аэрозоли:</w:t>
            </w:r>
          </w:p>
          <w:p w:rsidR="00D27A65" w:rsidRDefault="00704EB8">
            <w:pPr>
              <w:pStyle w:val="ConsPlusNormal"/>
              <w:jc w:val="both"/>
            </w:pPr>
            <w:r>
              <w:t>а) содержащие марганец (20% и более), никель, хром, соединения фтора, бериллий, свинец;</w:t>
            </w:r>
          </w:p>
          <w:p w:rsidR="00D27A65" w:rsidRDefault="00704EB8">
            <w:pPr>
              <w:pStyle w:val="ConsPlusNormal"/>
              <w:jc w:val="both"/>
            </w:pPr>
            <w:r>
              <w:t>б) содержащие марганец (до 20% и более), оксиды железа, алюминий, магний, титан, медь, цинк, молибден, ванадий, вольфрам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Абразивные и абразивсодержащие (электрокорундов, карбида бора, эльбора, карбида кремния и др.)</w:t>
            </w:r>
          </w:p>
        </w:tc>
      </w:tr>
    </w:tbl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0"/>
      </w:pPr>
      <w:r>
        <w:t>Приложение 4</w:t>
      </w:r>
    </w:p>
    <w:p w:rsidR="00D27A65" w:rsidRDefault="00D27A65">
      <w:pPr>
        <w:pStyle w:val="ConsPlusNormal"/>
        <w:jc w:val="right"/>
      </w:pPr>
    </w:p>
    <w:p w:rsidR="00D27A65" w:rsidRDefault="00704EB8">
      <w:pPr>
        <w:pStyle w:val="ConsPlusNormal"/>
        <w:jc w:val="right"/>
      </w:pPr>
      <w:r>
        <w:t>(обязательное)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bookmarkStart w:id="29" w:name="Par1058"/>
      <w:bookmarkEnd w:id="29"/>
      <w:r>
        <w:t>ГИГИЕНИЧЕСКИЕ ТРЕБОВАНИЯ</w:t>
      </w:r>
    </w:p>
    <w:p w:rsidR="00D27A65" w:rsidRDefault="00704EB8">
      <w:pPr>
        <w:pStyle w:val="ConsPlusNormal"/>
        <w:jc w:val="center"/>
      </w:pPr>
      <w:r>
        <w:t>ПО ОГРАНИЧЕНИЮ НЕБЛАГОПРИЯТНОГО ВЛИЯНИЯ ОБЩЕЙ ВИБРАЦИИ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1. Общая вибрация является фактором профессионального риска женщин-работниц вследствие остронаправленного действия ее на репродуктивную функцию за счет стрессорного и биомеханического механизмов действия. Потенциальная опасность общей вибрации требует принятия особых мер профилактики.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2. Общая вибрация рабочих мест для женщин должна быть не более: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 для транспортной вибрации - 101 дБ и 0,28 м/с</w:t>
      </w:r>
      <w:r>
        <w:rPr>
          <w:vertAlign w:val="superscript"/>
        </w:rPr>
        <w:t>2</w:t>
      </w:r>
      <w:r>
        <w:t>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 для транспортно-технологической вибрации - 95 дБ и 0,14 м/с</w:t>
      </w:r>
      <w:r>
        <w:rPr>
          <w:vertAlign w:val="superscript"/>
        </w:rPr>
        <w:t>2</w:t>
      </w:r>
      <w:r>
        <w:t>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 для технологической вибрации - 86 дБ и 0,05 м/с</w:t>
      </w:r>
      <w:r>
        <w:rPr>
          <w:vertAlign w:val="superscript"/>
        </w:rPr>
        <w:t>2</w:t>
      </w:r>
      <w:r>
        <w:t>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Уровни вибрации выше 107 дБ по виброскорости или 0,56 м/с</w:t>
      </w:r>
      <w:r>
        <w:rPr>
          <w:vertAlign w:val="superscript"/>
        </w:rPr>
        <w:t>2</w:t>
      </w:r>
      <w:r>
        <w:t xml:space="preserve"> по ускорению являются опасными (экстремальными). Это ограничивает экспозицию общей вибрации для женщин категорией технологической вибрации и частично транспортно-технологической по СН 3044-84 и ГОСТу 12.1.012-90.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3. Администрация предприятия обязана информировать девушек-подростков и женщин детородного возраста о рисках для репродуктивного здоровья при приеме на работу по профессии, связанной с воздействием общей вибрации.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4. При экспертизе нормативно-технической документации (НТД) на новые машины, оборудование и технологические процессы при проведении предупредительного санитарного надзора необходимо обращать внимание на: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 количество женщин, которые будут работать в контакте с вибрацией;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 принятые меры по виброзащите рабочих мест;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 конструктивные особенности сидения, его соответствие антропометрическим особенностям женщин, наличие паропроницаемой облицовки, элементов виброзащиты, возможность регулировки по росту и массе, наличие спинки, подлокотников и т.п.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5. В НТД на машины и оборудование конкретных типов должны быть указаны их вибрационные характеристики в соответствии с требованиями ГОСТа 12.1.012-90, обеспечивающие допустимые уровни вибрации на рабочих местах в соответствии с СН 3044-84 и настоящего приложения.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6. Для снижения вибрации на рабочих местах у виброактивного оборудования (например, прессы, штампы, ткацкие станки и др.) в НТД и строительных проектах должны быть предусмотрены устройства виброизолирующих систем с учетом величины и характера динамических нагрузок по ГОСТу 12.1.012-90. Для этого должны устраиваться виброизолирующие фундаменты с применением цилиндрических пружин, подшаботных прокладок, рессор и т.п., а при меньших динамических нагрузках равночастотные резинометаллические амортизаторы, резиновые элементы и т.п.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7. У виброактивного оборудования с рабочим местом "стоя" следует использовать виброизолирующие площадки и коврики, а с рабочим местом "сидя" - виброизолированные сидения, например, на тросовых упругих элементах; такие же сидения следует применять на мостовых кранах, внутрицеховых самоходных машинах и т.п.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8. При оценке машин и оборудования нельзя допускать контакта с локальной вибрацией таких частей тела, как живот, бедра и пояснично-крестцовый отдел позвоночника. Необходимо запрещать операции, при которых осуществляется, например, прижим деталей низом живота к вращающемуся наждаку и т.п.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9. Запрещать женщинам работать на тяжелых самоходных и транспортных внедорожных машинах (большегрузные автомобили, автосамосвалы, землеройные машины, тракторы, бульдозеры и др.). По возможности следует ограничивать время работы женщин в условиях транспортно-технологических вибраций, обеспечивая им при этом исправную технику, благоустроенные транспортные пути и др.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10. При работе в позе "сидя" в условиях действия вибрации предусматривать режимы труда и отдыха, включающие обеденный перерыв не менее 40 мин и перерывы по 5 - 10 мин через каждый час работы для профилактики застойных явлений в малом тазу. В перерывах в первую половину смены необходимо проводить физические упражнения для смены статической нагрузки динамической, а во вторую половину смены - дополнительно самомассаж спины, рук и ног для снятия статического напряжения и нормализации кровообращения.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11. При работах на открытом воздухе в холодный период года не следует допускать охлаждения сидения; предусмотреть устройство его подогрева от электрических или термохимических источников. Должно быть также предусмотрено помещение для обогрева тела и ног, а также теплый туалет, сушка спецодежды и обуви.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12. При действии общей вибрации в рабочей позе "стоя" следует предусматривать установки гидромассажа ног в соответствии с СНиП 2.09.04-87 "Административные и бытовые здания", устраиваемые из расчета 40 человек на одну установку.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13. В помещениях для отдыха и психологической разгрузки следует использовать кресла с подголовниками, подлокотниками и подставками для ног. В этих помещениях уровень звука не должен превышать 65 дБА.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14. Женщины, подвергающиеся воздействию общей вибрации, должны проходить периодические медицинские осмотры ежегодно. Мониторинг таких профгрупп должен проводиться с дифференцировкой по возрасту и состоянию генеративной функции.</w:t>
      </w: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0"/>
      </w:pPr>
      <w:r>
        <w:t>Приложение 5</w:t>
      </w:r>
    </w:p>
    <w:p w:rsidR="00D27A65" w:rsidRDefault="00D27A65">
      <w:pPr>
        <w:pStyle w:val="ConsPlusNormal"/>
        <w:jc w:val="right"/>
      </w:pPr>
    </w:p>
    <w:p w:rsidR="00D27A65" w:rsidRDefault="00704EB8">
      <w:pPr>
        <w:pStyle w:val="ConsPlusNormal"/>
        <w:jc w:val="right"/>
      </w:pPr>
      <w:r>
        <w:t>(рекомендуемое)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bookmarkStart w:id="30" w:name="Par1091"/>
      <w:bookmarkEnd w:id="30"/>
      <w:r>
        <w:t>ИНТЕГРАЛЬНЫЙ ПОКАЗАТЕЛЬ ТЕПЛОВОЙ НАГРУЗКИ СРЕДЫ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1. Индекс термической нагрузки среды (индекс ТНС) является эмпирическим одночисловым показателем, выраженным в °C, характеризующим сочетанное действие на организм человека параметров микроклимата (температура, влажность, скорость движения воздуха и тепловое излучение).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2. Индекс ТНС определяется на основе величин температуры смоченного термометра аспирационного психрометра (t</w:t>
      </w:r>
      <w:r>
        <w:rPr>
          <w:vertAlign w:val="subscript"/>
        </w:rPr>
        <w:t>вл</w:t>
      </w:r>
      <w:r>
        <w:t>) и температуры внутри зачерненного шара (t</w:t>
      </w:r>
      <w:r>
        <w:rPr>
          <w:vertAlign w:val="subscript"/>
        </w:rPr>
        <w:t>ш</w:t>
      </w:r>
      <w:r>
        <w:t>).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3. Температура внутри зачерненного шара (t</w:t>
      </w:r>
      <w:r>
        <w:rPr>
          <w:vertAlign w:val="subscript"/>
        </w:rPr>
        <w:t>ш</w:t>
      </w:r>
      <w:r>
        <w:t>) измеряется термометром, резервуар которого помещен в центр зачерненного полого шара, t</w:t>
      </w:r>
      <w:r>
        <w:rPr>
          <w:vertAlign w:val="subscript"/>
        </w:rPr>
        <w:t>ш</w:t>
      </w:r>
      <w:r>
        <w:t xml:space="preserve"> отражает влияние температуры и скорости движения воздуха и теплового излучения. Зачерненный шар должен иметь диаметр 50 мм, минимально возможную толщину и коэффициент поглощения не менее 0,95. Точность измерения температуры внутри шара </w:t>
      </w:r>
      <w:r w:rsidR="00E62404">
        <w:rPr>
          <w:noProof/>
          <w:position w:val="-2"/>
        </w:rPr>
        <w:drawing>
          <wp:inline distT="0" distB="0" distL="0" distR="0">
            <wp:extent cx="171450" cy="18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0,5 °C.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4. Индекс ТНС рассчитывается по уравнению: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r>
        <w:t>ТНС - 0,7 t</w:t>
      </w:r>
      <w:r>
        <w:rPr>
          <w:vertAlign w:val="subscript"/>
        </w:rPr>
        <w:t>вл</w:t>
      </w:r>
      <w:r>
        <w:t xml:space="preserve"> + 0,3 t</w:t>
      </w:r>
      <w:r>
        <w:rPr>
          <w:vertAlign w:val="subscript"/>
        </w:rPr>
        <w:t>ш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5. Индекс ТНС рекомендуется использовать для интегральной оценки термической нагрузки среды на рабочих местах, на которых скорость движения воздуха не превышает 1 м/с, относительная его влажность 80%, тепловое облучение - 1000 Вт/м</w:t>
      </w:r>
      <w:r>
        <w:rPr>
          <w:vertAlign w:val="superscript"/>
        </w:rPr>
        <w:t>2</w:t>
      </w:r>
      <w:r>
        <w:t>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6. Метод измерения и контроля индекса ТНС аналогичен методу измерения и контроля температуры воздуха (</w:t>
      </w:r>
      <w:hyperlink r:id="rId34" w:history="1">
        <w:r>
          <w:rPr>
            <w:color w:val="0000FF"/>
          </w:rPr>
          <w:t>СанПиН 2.2.4.548-96</w:t>
        </w:r>
      </w:hyperlink>
      <w:r>
        <w:t>).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7. Значения индекса ТНС не должны выходить за пределы величин, указанных в таблице данного приложения.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  <w:outlineLvl w:val="1"/>
      </w:pPr>
      <w:r>
        <w:t>Допустимые величины интегрального показателя тепловой</w:t>
      </w:r>
    </w:p>
    <w:p w:rsidR="00D27A65" w:rsidRDefault="00704EB8">
      <w:pPr>
        <w:pStyle w:val="ConsPlusNormal"/>
        <w:jc w:val="center"/>
      </w:pPr>
      <w:r>
        <w:t>нагрузки среды (ТНС-индекс) с учетом продолжительности</w:t>
      </w:r>
    </w:p>
    <w:p w:rsidR="00D27A65" w:rsidRDefault="00704EB8">
      <w:pPr>
        <w:pStyle w:val="ConsPlusNormal"/>
        <w:jc w:val="center"/>
      </w:pPr>
      <w:r>
        <w:t>ее воздействия (в часах), верхняя граница</w:t>
      </w:r>
    </w:p>
    <w:p w:rsidR="00D27A65" w:rsidRDefault="00D27A6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74"/>
        <w:gridCol w:w="761"/>
        <w:gridCol w:w="761"/>
        <w:gridCol w:w="761"/>
        <w:gridCol w:w="761"/>
        <w:gridCol w:w="761"/>
        <w:gridCol w:w="761"/>
        <w:gridCol w:w="762"/>
      </w:tblGrid>
      <w:tr w:rsidR="00D27A6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Категория работ (общие энерготраты, Вт/м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6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Величины ТНС-индекса, °C, на период, в час</w:t>
            </w:r>
          </w:p>
        </w:tc>
      </w:tr>
      <w:tr w:rsidR="00D27A6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</w:t>
            </w:r>
          </w:p>
        </w:tc>
      </w:tr>
      <w:tr w:rsidR="00D27A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1а (до 77)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22,7 - 24,5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29,5</w:t>
            </w:r>
          </w:p>
        </w:tc>
      </w:tr>
      <w:tr w:rsidR="00D27A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1б (до 97)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21,9 - 23,5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28,6</w:t>
            </w:r>
          </w:p>
        </w:tc>
      </w:tr>
      <w:tr w:rsidR="00D27A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11а (до 129)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21,2 - 22,6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27,4</w:t>
            </w:r>
          </w:p>
        </w:tc>
      </w:tr>
      <w:tr w:rsidR="00D27A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11б (до 160)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20,0 - 21,5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26,3</w:t>
            </w:r>
          </w:p>
        </w:tc>
      </w:tr>
      <w:tr w:rsidR="00D27A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111 (до 193)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18,8 - 20,4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25,0</w:t>
            </w:r>
          </w:p>
        </w:tc>
      </w:tr>
    </w:tbl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0"/>
      </w:pPr>
      <w:r>
        <w:t>Приложение 6</w:t>
      </w:r>
    </w:p>
    <w:p w:rsidR="00D27A65" w:rsidRDefault="00D27A65">
      <w:pPr>
        <w:pStyle w:val="ConsPlusNormal"/>
        <w:jc w:val="right"/>
      </w:pPr>
    </w:p>
    <w:p w:rsidR="00D27A65" w:rsidRDefault="00704EB8">
      <w:pPr>
        <w:pStyle w:val="ConsPlusNormal"/>
        <w:jc w:val="right"/>
      </w:pPr>
      <w:r>
        <w:t>(рекомендуемое)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r>
        <w:t>ПРАКТИЧЕСКИЕ РЕКОМЕНДАЦИИ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1. В целях сохранения и повышения работоспособности, ускорения адаптации к действию неблагоприятных условий труда, профилактики заболеваний женщинам, работающим в контакте с химическими веществами, следует 2 раза в год проводить витаминизацию, назначать аэровит, ундевит и др. адаптогены (экстракт элеутерококка, дибазол); ультрафиолетовое облучение воротниковой зоны после определения биодозы - с 1/3 - 1/4, постепенно увеличивая до 3-х биодоз в течение 2-х недель.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2. Начиная с 12-ти недельного срока беременности в зимне-весенний период года необходимо предусмотреть витаминизацию работающих беременных женщин.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3. С целью повышения устойчивости организма к неблагоприятным факторам среды, простудным заболеваниям, повышению работоспособности применяется напиток "Здоровье".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Напиток выдается в организованных коллективах, за исключением лиц, имеющих выраженную артериальную гипертонию, острое лихорадочное состояние (списки лиц с противопоказаниями определяются цеховой медицинской службой).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Напиток применяется курсами (1 - 1,5 месяца 2 раза в год).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Состав напитка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 компот, чай либо фруктовый сок (яблочный, виноградный) - 200,0;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 аскорбиновая кислота - 50 мл;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 экстракт элеутерококка - 0,5 мл.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Аскорбиновая кислота и элеутерококк добавляются в готовый, охлажденный до 20 - 30 °C компот, чай, сок в количествах, соответствующих количеству доз напитка. Например, на 100 доз (20 мл) напитка добавляют 5 г аскорбиновой кислоты в 200 мл компота, чая, сока 50 мл экстракта элеутерококка.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Приготовление напитка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1. Приготовить компот обычным способом. Охладить до 20 - 30 °C.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2. Растворить необходимое (по расчетам) количество аскорбиновой кислоты в 200 мл компота, чая, сока.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3. Размешать растворенную аскорбиновую кислоту и экстракт элеутерококка в небольшом количестве компота, сока, чая.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4. Вылить приготовленную смесь в общий объем напитка и тщательно перемешать.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Употребление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Напиток применяют во время обеда в качестве третьего блюда или дополнительно к третьему блюду.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Показания к применению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Рекомендуется применять лицам с пониженной резистентностью организма и недостаточной витаминной обеспеченностью.</w:t>
      </w: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  <w:outlineLvl w:val="0"/>
      </w:pPr>
      <w:r>
        <w:t>БИБЛИОГРАФИЧЕСКИЕ ДАННЫЕ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В настоящих нормах и правилах использованы ссылки на следующие документы: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1. Предельно допустимые концентрации вредных веществ в воздухе рабочей зоны. Перечень ГН 2.2.5.552-96.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2. Дополнения к перечню ПДК.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3. Санитарные нормы </w:t>
      </w:r>
      <w:hyperlink r:id="rId35" w:history="1">
        <w:r>
          <w:rPr>
            <w:color w:val="0000FF"/>
          </w:rPr>
          <w:t>СН 2.2.4/2.1.8.582-96</w:t>
        </w:r>
      </w:hyperlink>
      <w:r>
        <w:t xml:space="preserve"> "Шум на рабочих местах, в помещениях жилых, общественных зданий и на территории жилой застройки".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4. </w:t>
      </w:r>
      <w:hyperlink r:id="rId36" w:history="1">
        <w:r>
          <w:rPr>
            <w:color w:val="0000FF"/>
          </w:rPr>
          <w:t>СанПиН 2.2.2.540-96</w:t>
        </w:r>
      </w:hyperlink>
      <w:r>
        <w:t xml:space="preserve"> "Гигиенические требования к ручным инструментам и организации работ".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5. Санитарные нормы </w:t>
      </w:r>
      <w:hyperlink r:id="rId37" w:history="1">
        <w:r>
          <w:rPr>
            <w:color w:val="0000FF"/>
          </w:rPr>
          <w:t>СН 2.2.4/2.1.8.582-96</w:t>
        </w:r>
      </w:hyperlink>
      <w:r>
        <w:t xml:space="preserve"> "Производственная вибрация, вибрация в помещениях жилых и общественных зданий".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6. ГОСТ 12.1.012-90 ССБТ. "Вибрационная безопасность. Общие требования".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7. Гигиенические нормы инфразвука на рабочих местах N 2274-80.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8. ГОСТ 12.1.001-89 ССБТ. "Ультразвук. Общие требования безопасности".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9. Предельно допустимые уровни воздействия магнитных полей при работе с магнитными устройствами и материалами N 1742-77.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10. ГОСТ 12.1.045-84 ССБТ. "Электростатические поля. Допустимые уровни на рабочих местах и требования к проведению контроля".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11. Санитарные нормы и правила выполнения работ в условиях воздействия электрических полей промышленной частоты (50 Гц) N 5302-91.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12. Предельно допустимые уровни магнитных полей частотой 50 Гц N 3206-85.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13. СанПиН 2.2.4/2.1.8.005-96 "Электромагнитные излучения радиочастотного диапазона".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14. ПДУ воздействия электромагнитных полей диапазона частот 10 - 60 кГц. N 5803-91.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15. </w:t>
      </w:r>
      <w:hyperlink r:id="rId38" w:history="1">
        <w:r>
          <w:rPr>
            <w:color w:val="0000FF"/>
          </w:rPr>
          <w:t>Санитарные нормы и правила</w:t>
        </w:r>
      </w:hyperlink>
      <w:r>
        <w:t xml:space="preserve"> устройства и эксплуатации лазеров. N 5804-91.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16. Строительные нормы и правила Российской Федерации. СНиП 23-05-95 "Естественное и искусственное освещение". - М., 1995.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17. </w:t>
      </w:r>
      <w:hyperlink r:id="rId39" w:history="1">
        <w:r>
          <w:rPr>
            <w:color w:val="0000FF"/>
          </w:rPr>
          <w:t>Санитарные нормы</w:t>
        </w:r>
      </w:hyperlink>
      <w:r>
        <w:t xml:space="preserve"> ультрафиолетового излучения в производственных помещениях N 4557-88.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18. Гигиенические требования к микроклимату производственных помещений. </w:t>
      </w:r>
      <w:hyperlink r:id="rId40" w:history="1">
        <w:r>
          <w:rPr>
            <w:color w:val="0000FF"/>
          </w:rPr>
          <w:t>СанПиН 2.2.4.548-96</w:t>
        </w:r>
      </w:hyperlink>
      <w:r>
        <w:t>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19. О новых нормах предельно допустимых нагрузок для женщин при подъеме и перемещении тяжестей вручную: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Совета Министров - Правительства Российской Федерации N 105 от 6 февраля 1993 г.</w:t>
      </w:r>
    </w:p>
    <w:p w:rsidR="00D27A65" w:rsidRDefault="00D27A6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27A6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27A65" w:rsidRDefault="00704EB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D27A65" w:rsidRDefault="00704EB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Роспотребнадзором 29.07.2005 утверждено новое "Руководство Р 2.2.2006-05 "</w:t>
            </w:r>
            <w:hyperlink r:id="rId42" w:history="1">
              <w:r>
                <w:rPr>
                  <w:color w:val="0000FF"/>
                </w:rPr>
                <w:t>Руководство</w:t>
              </w:r>
            </w:hyperlink>
            <w:r>
              <w:rPr>
                <w:color w:val="392C69"/>
              </w:rPr>
              <w:t xml:space="preserve"> по гигиенической оценке факторов рабочей среды и трудового процесса. Критерии и классификация условий труда".</w:t>
            </w:r>
          </w:p>
        </w:tc>
      </w:tr>
    </w:tbl>
    <w:p w:rsidR="00D27A65" w:rsidRDefault="00704EB8">
      <w:pPr>
        <w:pStyle w:val="ConsPlusNormal"/>
        <w:spacing w:before="300"/>
        <w:ind w:firstLine="540"/>
        <w:jc w:val="both"/>
      </w:pPr>
      <w:r>
        <w:t xml:space="preserve">20. </w:t>
      </w:r>
      <w:hyperlink r:id="rId43" w:history="1">
        <w:r>
          <w:rPr>
            <w:color w:val="0000FF"/>
          </w:rPr>
          <w:t>Гигиенические критерии</w:t>
        </w:r>
      </w:hyperlink>
      <w:r>
        <w:t xml:space="preserve"> оценки условий труда по показателям вредности и опасности факторов производственной среды, тяжести и напряженности трудового процесса: Руководство Р 2.2.013-94.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21. СН 245-71 "Санитарные нормы проектирования промышленных предприятий", "Проектирование, реконструкция и эксплуатация предприятий. Гигиенические требования к производственным объектам" (стадия рассмотрения).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22. </w:t>
      </w:r>
      <w:hyperlink r:id="rId44" w:history="1">
        <w:r>
          <w:rPr>
            <w:color w:val="0000FF"/>
          </w:rPr>
          <w:t>Гигиенические рекомендации</w:t>
        </w:r>
      </w:hyperlink>
      <w:r>
        <w:t xml:space="preserve"> к рациональному трудоустройству беременных женщин, утв. Госкомсанэпиднадзором 21.12.93 и МЗ РФ 23.12.93.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23. ГОСТ 21889-76. "СЧМ. Кресло человека - оператора. Общие эргономические требования".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24. Межотраслевые требования и нормативные материалы по организации труда, которые должны учитываться при проектировании новых и реконструкции действующих предприятий, технологических процессов и оборудования. М.: Экономика, 1990.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25. </w:t>
      </w:r>
      <w:hyperlink r:id="rId4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медицинской промышленности Российской Федерации от 14.03.96 N 90 "О порядке проведения предварительных и периодических медицинских осмотров работников и медицинских регламентах допуска к профессии".</w:t>
      </w:r>
    </w:p>
    <w:p w:rsidR="00D27A65" w:rsidRDefault="00D27A6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27A6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27A65" w:rsidRDefault="00704EB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D27A65" w:rsidRDefault="00704EB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НРБ-96 утратили силу с 1 января 2000 года в связи с изданием </w:t>
            </w:r>
            <w:hyperlink r:id="rId46" w:history="1">
              <w:r>
                <w:rPr>
                  <w:color w:val="0000FF"/>
                </w:rPr>
                <w:t>НРБ-99</w:t>
              </w:r>
            </w:hyperlink>
            <w:r>
              <w:rPr>
                <w:color w:val="392C69"/>
              </w:rPr>
              <w:t xml:space="preserve">, утвержденных Главным государственным санитарным врачом РФ 02.07.1999. Действующие </w:t>
            </w:r>
            <w:hyperlink r:id="rId47" w:history="1">
              <w:r>
                <w:rPr>
                  <w:color w:val="0000FF"/>
                </w:rPr>
                <w:t>Нормы</w:t>
              </w:r>
            </w:hyperlink>
            <w:r>
              <w:rPr>
                <w:color w:val="392C69"/>
              </w:rPr>
              <w:t xml:space="preserve"> радиационной безопасности см. в Постановлении Главного государственного санитарного врача РФ от 07.07.2009 N 47.</w:t>
            </w:r>
          </w:p>
        </w:tc>
      </w:tr>
    </w:tbl>
    <w:p w:rsidR="00D27A65" w:rsidRDefault="00704EB8">
      <w:pPr>
        <w:pStyle w:val="ConsPlusNormal"/>
        <w:spacing w:before="300"/>
        <w:ind w:firstLine="540"/>
        <w:jc w:val="both"/>
      </w:pPr>
      <w:r>
        <w:t xml:space="preserve">26. "Нормы радиационной безопасности (НРБ-96)" </w:t>
      </w:r>
      <w:hyperlink r:id="rId48" w:history="1">
        <w:r>
          <w:rPr>
            <w:color w:val="0000FF"/>
          </w:rPr>
          <w:t>ГН 2.6.1.054-96</w:t>
        </w:r>
      </w:hyperlink>
      <w:r>
        <w:t>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27. Конвенция о ликвидации всех форм дискриминации в отношении женщин (Принята Генеральной Ассамблеей ООН в 1979 г. Ратифицирована Президиумом Верховного Совета СССР 19.12.80).</w:t>
      </w: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704EB8" w:rsidRDefault="00704E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04EB8">
      <w:headerReference w:type="default" r:id="rId49"/>
      <w:footerReference w:type="default" r:id="rId5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1B1" w:rsidRDefault="007321B1">
      <w:pPr>
        <w:spacing w:after="0" w:line="240" w:lineRule="auto"/>
      </w:pPr>
      <w:r>
        <w:separator/>
      </w:r>
    </w:p>
  </w:endnote>
  <w:endnote w:type="continuationSeparator" w:id="0">
    <w:p w:rsidR="007321B1" w:rsidRDefault="0073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65" w:rsidRPr="004E5236" w:rsidRDefault="00D27A65" w:rsidP="004E52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65" w:rsidRPr="004E5236" w:rsidRDefault="00D27A65" w:rsidP="004E52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1B1" w:rsidRDefault="007321B1">
      <w:pPr>
        <w:spacing w:after="0" w:line="240" w:lineRule="auto"/>
      </w:pPr>
      <w:r>
        <w:separator/>
      </w:r>
    </w:p>
  </w:footnote>
  <w:footnote w:type="continuationSeparator" w:id="0">
    <w:p w:rsidR="007321B1" w:rsidRDefault="0073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65" w:rsidRDefault="00D27A65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65" w:rsidRDefault="00D27A6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04"/>
    <w:rsid w:val="004E5236"/>
    <w:rsid w:val="00704EB8"/>
    <w:rsid w:val="007321B1"/>
    <w:rsid w:val="007415BE"/>
    <w:rsid w:val="007C278B"/>
    <w:rsid w:val="00A27EBB"/>
    <w:rsid w:val="00D27A65"/>
    <w:rsid w:val="00E6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B93D3E-6A8A-43D6-B126-54AEFAFA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E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236"/>
  </w:style>
  <w:style w:type="paragraph" w:styleId="a5">
    <w:name w:val="footer"/>
    <w:basedOn w:val="a"/>
    <w:link w:val="a6"/>
    <w:uiPriority w:val="99"/>
    <w:unhideWhenUsed/>
    <w:rsid w:val="004E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236"/>
  </w:style>
  <w:style w:type="paragraph" w:styleId="a7">
    <w:name w:val="Balloon Text"/>
    <w:basedOn w:val="a"/>
    <w:link w:val="a8"/>
    <w:uiPriority w:val="99"/>
    <w:semiHidden/>
    <w:unhideWhenUsed/>
    <w:rsid w:val="004E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30127&amp;date=25.12.2019&amp;dst=100174&amp;fld=134" TargetMode="External"/><Relationship Id="rId18" Type="http://schemas.openxmlformats.org/officeDocument/2006/relationships/hyperlink" Target="https://login.consultant.ru/link/?req=doc&amp;base=LAW&amp;n=99272&amp;date=25.12.2019&amp;dst=100005&amp;fld=134" TargetMode="External"/><Relationship Id="rId26" Type="http://schemas.openxmlformats.org/officeDocument/2006/relationships/image" Target="media/image1.wmf"/><Relationship Id="rId39" Type="http://schemas.openxmlformats.org/officeDocument/2006/relationships/hyperlink" Target="https://login.consultant.ru/link/?req=doc&amp;base=LAW&amp;n=102696&amp;date=25.12.2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93768&amp;date=25.12.2019&amp;dst=100004&amp;fld=134" TargetMode="External"/><Relationship Id="rId34" Type="http://schemas.openxmlformats.org/officeDocument/2006/relationships/hyperlink" Target="https://login.consultant.ru/link/?req=doc&amp;base=LAW&amp;n=93768&amp;date=25.12.2019" TargetMode="External"/><Relationship Id="rId42" Type="http://schemas.openxmlformats.org/officeDocument/2006/relationships/hyperlink" Target="https://login.consultant.ru/link/?req=doc&amp;base=LAW&amp;n=85537&amp;date=25.12.2019&amp;dst=100004&amp;fld=134" TargetMode="External"/><Relationship Id="rId47" Type="http://schemas.openxmlformats.org/officeDocument/2006/relationships/hyperlink" Target="https://login.consultant.ru/link/?req=doc&amp;base=LAW&amp;n=90936&amp;date=25.12.2019&amp;dst=100015&amp;fld=134" TargetMode="External"/><Relationship Id="rId50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308354&amp;date=25.12.2019&amp;dst=100005&amp;fld=134" TargetMode="External"/><Relationship Id="rId12" Type="http://schemas.openxmlformats.org/officeDocument/2006/relationships/hyperlink" Target="https://login.consultant.ru/link/?req=doc&amp;base=LAW&amp;n=8443&amp;date=25.12.2019&amp;dst=100149&amp;fld=134" TargetMode="External"/><Relationship Id="rId17" Type="http://schemas.openxmlformats.org/officeDocument/2006/relationships/hyperlink" Target="https://login.consultant.ru/link/?req=doc&amp;base=LAW&amp;n=46288&amp;date=25.12.2019&amp;dst=100015&amp;fld=134" TargetMode="External"/><Relationship Id="rId25" Type="http://schemas.openxmlformats.org/officeDocument/2006/relationships/hyperlink" Target="https://login.consultant.ru/link/?req=doc&amp;base=LAW&amp;n=93768&amp;date=25.12.2019&amp;dst=100004&amp;fld=134" TargetMode="External"/><Relationship Id="rId33" Type="http://schemas.openxmlformats.org/officeDocument/2006/relationships/image" Target="media/image2.wmf"/><Relationship Id="rId38" Type="http://schemas.openxmlformats.org/officeDocument/2006/relationships/hyperlink" Target="https://login.consultant.ru/link/?req=doc&amp;base=LAW&amp;n=98851&amp;date=25.12.2019" TargetMode="External"/><Relationship Id="rId46" Type="http://schemas.openxmlformats.org/officeDocument/2006/relationships/hyperlink" Target="https://login.consultant.ru/link/?req=doc&amp;base=OTN&amp;n=12860&amp;date=25.12.2019&amp;dst=100013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8443&amp;date=25.12.2019&amp;dst=100186&amp;fld=134" TargetMode="External"/><Relationship Id="rId20" Type="http://schemas.openxmlformats.org/officeDocument/2006/relationships/hyperlink" Target="https://login.consultant.ru/link/?req=doc&amp;base=LAW&amp;n=98851&amp;date=25.12.2019" TargetMode="External"/><Relationship Id="rId29" Type="http://schemas.openxmlformats.org/officeDocument/2006/relationships/hyperlink" Target="https://login.consultant.ru/link/?req=doc&amp;base=LAW&amp;n=339239&amp;date=25.12.2019&amp;dst=101605&amp;fld=134" TargetMode="External"/><Relationship Id="rId41" Type="http://schemas.openxmlformats.org/officeDocument/2006/relationships/hyperlink" Target="https://login.consultant.ru/link/?req=doc&amp;base=LAW&amp;n=1584&amp;date=25.12.2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0780&amp;date=25.12.2019&amp;dst=100006&amp;fld=134" TargetMode="External"/><Relationship Id="rId11" Type="http://schemas.openxmlformats.org/officeDocument/2006/relationships/hyperlink" Target="https://login.consultant.ru/link/?req=doc&amp;base=LAW&amp;n=8443&amp;date=25.12.2019&amp;dst=100026&amp;fld=134" TargetMode="External"/><Relationship Id="rId24" Type="http://schemas.openxmlformats.org/officeDocument/2006/relationships/hyperlink" Target="https://login.consultant.ru/link/?req=doc&amp;base=LAW&amp;n=93768&amp;date=25.12.2019" TargetMode="External"/><Relationship Id="rId32" Type="http://schemas.openxmlformats.org/officeDocument/2006/relationships/footer" Target="footer1.xml"/><Relationship Id="rId37" Type="http://schemas.openxmlformats.org/officeDocument/2006/relationships/hyperlink" Target="https://login.consultant.ru/link/?req=doc&amp;base=LAW&amp;n=100651&amp;date=25.12.2019" TargetMode="External"/><Relationship Id="rId40" Type="http://schemas.openxmlformats.org/officeDocument/2006/relationships/hyperlink" Target="https://login.consultant.ru/link/?req=doc&amp;base=LAW&amp;n=93768&amp;date=25.12.2019" TargetMode="External"/><Relationship Id="rId45" Type="http://schemas.openxmlformats.org/officeDocument/2006/relationships/hyperlink" Target="https://login.consultant.ru/link/?req=doc&amp;base=LAW&amp;n=30618&amp;date=25.12.201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8443&amp;date=25.12.2019&amp;dst=100069&amp;fld=134" TargetMode="External"/><Relationship Id="rId23" Type="http://schemas.openxmlformats.org/officeDocument/2006/relationships/hyperlink" Target="https://login.consultant.ru/link/?req=doc&amp;base=LAW&amp;n=93768&amp;date=25.12.2019" TargetMode="External"/><Relationship Id="rId28" Type="http://schemas.openxmlformats.org/officeDocument/2006/relationships/hyperlink" Target="https://login.consultant.ru/link/?req=doc&amp;base=LAW&amp;n=1584&amp;date=25.12.2019" TargetMode="External"/><Relationship Id="rId36" Type="http://schemas.openxmlformats.org/officeDocument/2006/relationships/hyperlink" Target="https://login.consultant.ru/link/?req=doc&amp;base=LAW&amp;n=99272&amp;date=25.12.2019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8443&amp;date=25.12.2019" TargetMode="External"/><Relationship Id="rId19" Type="http://schemas.openxmlformats.org/officeDocument/2006/relationships/hyperlink" Target="https://login.consultant.ru/link/?req=doc&amp;base=OTN&amp;n=15814&amp;date=25.12.2019&amp;dst=100004&amp;fld=134" TargetMode="External"/><Relationship Id="rId31" Type="http://schemas.openxmlformats.org/officeDocument/2006/relationships/header" Target="header1.xml"/><Relationship Id="rId44" Type="http://schemas.openxmlformats.org/officeDocument/2006/relationships/hyperlink" Target="https://login.consultant.ru/link/?req=doc&amp;base=LAW&amp;n=137010&amp;date=25.12.2019&amp;dst=100003&amp;fld=134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30127&amp;date=25.12.2019&amp;dst=100410&amp;fld=134" TargetMode="External"/><Relationship Id="rId14" Type="http://schemas.openxmlformats.org/officeDocument/2006/relationships/hyperlink" Target="https://login.consultant.ru/link/?req=doc&amp;base=LAW&amp;n=137010&amp;date=25.12.2019&amp;dst=100003&amp;fld=134" TargetMode="External"/><Relationship Id="rId22" Type="http://schemas.openxmlformats.org/officeDocument/2006/relationships/hyperlink" Target="https://login.consultant.ru/link/?req=doc&amp;base=LAW&amp;n=93768&amp;date=25.12.2019&amp;dst=100004&amp;fld=134" TargetMode="External"/><Relationship Id="rId27" Type="http://schemas.openxmlformats.org/officeDocument/2006/relationships/hyperlink" Target="https://login.consultant.ru/link/?req=doc&amp;base=LAW&amp;n=18895&amp;date=25.12.2019" TargetMode="External"/><Relationship Id="rId30" Type="http://schemas.openxmlformats.org/officeDocument/2006/relationships/hyperlink" Target="https://login.consultant.ru/link/?req=doc&amp;base=LAW&amp;n=1584&amp;date=25.12.2019" TargetMode="External"/><Relationship Id="rId35" Type="http://schemas.openxmlformats.org/officeDocument/2006/relationships/hyperlink" Target="https://login.consultant.ru/link/?req=doc&amp;base=LAW&amp;n=100651&amp;date=25.12.2019" TargetMode="External"/><Relationship Id="rId43" Type="http://schemas.openxmlformats.org/officeDocument/2006/relationships/hyperlink" Target="https://login.consultant.ru/link/?req=doc&amp;base=EXP&amp;n=318010&amp;date=25.12.2019" TargetMode="External"/><Relationship Id="rId48" Type="http://schemas.openxmlformats.org/officeDocument/2006/relationships/hyperlink" Target="https://login.consultant.ru/link/?req=doc&amp;base=OTN&amp;n=22425&amp;date=25.12.2019" TargetMode="External"/><Relationship Id="rId8" Type="http://schemas.openxmlformats.org/officeDocument/2006/relationships/hyperlink" Target="https://login.consultant.ru/link/?req=doc&amp;base=LAW&amp;n=8443&amp;date=25.12.2019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8957</Words>
  <Characters>51058</Characters>
  <Application>Microsoft Office Word</Application>
  <DocSecurity>2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"СанПиН 2.2.0.555-96. 2.2. Гигиена труда. Гигиенические требования к условиям труда женщин. Санитарные правила и нормы"(утв. Постановлением Госкомсанэпиднадзора РФ от 28.10.1996 N 32)</vt:lpstr>
    </vt:vector>
  </TitlesOfParts>
  <Company>КонсультантПлюс Версия 4018.00.50</Company>
  <LinksUpToDate>false</LinksUpToDate>
  <CharactersWithSpaces>59896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"СанПиН 2.2.0.555-96. 2.2. Гигиена труда. Гигиенические требования к условиям труда женщин. Санитарные правила и нормы"(утв. Постановлением Госкомсанэпиднадзора РФ от 28.10.1996 N 32)</dc:title>
  <dc:creator>Тебеньков Игорь Игоревич</dc:creator>
  <cp:lastModifiedBy>Губатых М.И.</cp:lastModifiedBy>
  <cp:revision>2</cp:revision>
  <dcterms:created xsi:type="dcterms:W3CDTF">2022-06-06T10:26:00Z</dcterms:created>
  <dcterms:modified xsi:type="dcterms:W3CDTF">2022-06-06T10:26:00Z</dcterms:modified>
</cp:coreProperties>
</file>