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C8F3" w14:textId="539FF952" w:rsidR="00922D5E" w:rsidRDefault="00922D5E" w:rsidP="00922D5E">
      <w:pPr>
        <w:jc w:val="center"/>
      </w:pPr>
      <w:r>
        <w:rPr>
          <w:noProof/>
          <w:lang w:eastAsia="ru-RU"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3DBCA1D3" w14:textId="794AF10F" w:rsidR="00922D5E" w:rsidRDefault="00556A80" w:rsidP="00556A80">
            <w:pPr>
              <w:jc w:val="center"/>
            </w:pPr>
            <w:r w:rsidRPr="00556A80">
              <w:rPr>
                <w:b/>
                <w:bCs/>
                <w:color w:val="0293DF"/>
                <w:sz w:val="56"/>
                <w:szCs w:val="52"/>
              </w:rPr>
              <w:t xml:space="preserve">Создание производства </w:t>
            </w:r>
            <w:bookmarkStart w:id="0" w:name="_GoBack"/>
            <w:r w:rsidRPr="00556A80">
              <w:rPr>
                <w:b/>
                <w:bCs/>
                <w:color w:val="0293DF"/>
                <w:sz w:val="56"/>
                <w:szCs w:val="52"/>
              </w:rPr>
              <w:t>каркасного домостроительного комбината</w:t>
            </w:r>
            <w:bookmarkEnd w:id="0"/>
          </w:p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09068721" w:rsidR="00550EA1" w:rsidRPr="00550EA1" w:rsidRDefault="00550EA1" w:rsidP="00922D5E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1C4BDB3F" w:rsidR="002F17F6" w:rsidRDefault="002F17F6" w:rsidP="002F17F6"/>
    <w:p w14:paraId="5BCAF30B" w14:textId="3CCE0109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6E64F6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7EBE1220" w:rsidR="00A7200D" w:rsidRDefault="00556A8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6E64F6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23C6EF6E" w:rsidR="00A7200D" w:rsidRDefault="00556A8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6E64F6">
          <w:rPr>
            <w:noProof/>
            <w:webHidden/>
          </w:rPr>
          <w:t>6</w:t>
        </w:r>
        <w:r w:rsidR="00A7200D">
          <w:rPr>
            <w:noProof/>
            <w:webHidden/>
          </w:rPr>
          <w:fldChar w:fldCharType="end"/>
        </w:r>
      </w:hyperlink>
    </w:p>
    <w:p w14:paraId="04991E64" w14:textId="377BFA98" w:rsidR="00A7200D" w:rsidRDefault="00556A8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6E64F6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2526C01A" w14:textId="012F9C67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1" w:name="_Toc84654922"/>
      <w:r>
        <w:lastRenderedPageBreak/>
        <w:t>Описание проекта</w:t>
      </w:r>
      <w:r w:rsidR="00A7200D">
        <w:t xml:space="preserve"> и продукции</w:t>
      </w:r>
      <w:bookmarkEnd w:id="1"/>
    </w:p>
    <w:p w14:paraId="4856C181" w14:textId="5911CEC8" w:rsidR="000E12C2" w:rsidRDefault="000E12C2" w:rsidP="000E12C2">
      <w:pPr>
        <w:rPr>
          <w:noProof/>
          <w:lang w:eastAsia="ru-RU"/>
        </w:rPr>
      </w:pPr>
      <w:r>
        <w:rPr>
          <w:noProof/>
          <w:lang w:eastAsia="ru-RU"/>
        </w:rPr>
        <w:t>Каркасный дом — это быстров</w:t>
      </w:r>
      <w:r>
        <w:rPr>
          <w:noProof/>
          <w:lang w:eastAsia="ru-RU"/>
        </w:rPr>
        <w:t>озводимая конструкция из дерева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>и</w:t>
      </w:r>
      <w:r>
        <w:rPr>
          <w:noProof/>
          <w:lang w:eastAsia="ru-RU"/>
        </w:rPr>
        <w:t xml:space="preserve"> сэндвич-панелей. </w:t>
      </w:r>
      <w:r>
        <w:rPr>
          <w:noProof/>
          <w:lang w:eastAsia="ru-RU"/>
        </w:rPr>
        <w:t>В</w:t>
      </w:r>
      <w:r>
        <w:rPr>
          <w:noProof/>
          <w:lang w:eastAsia="ru-RU"/>
        </w:rPr>
        <w:t xml:space="preserve"> США и Канаде на каркасные дома приходится более 70% всех возводимых коттеджей, в скандинавских странах — до 90%, в России каркасные технологии применяются только в 20% коттеджей.</w:t>
      </w:r>
    </w:p>
    <w:p w14:paraId="0137DEDD" w14:textId="7A1F9B8A" w:rsidR="000E12C2" w:rsidRDefault="000E12C2" w:rsidP="000E12C2">
      <w:pPr>
        <w:rPr>
          <w:noProof/>
          <w:lang w:eastAsia="ru-RU"/>
        </w:rPr>
      </w:pPr>
      <w:r>
        <w:rPr>
          <w:noProof/>
          <w:lang w:eastAsia="ru-RU"/>
        </w:rPr>
        <w:t>Д</w:t>
      </w:r>
      <w:r>
        <w:rPr>
          <w:noProof/>
          <w:lang w:eastAsia="ru-RU"/>
        </w:rPr>
        <w:t>стоинства каркасной технологии:</w:t>
      </w:r>
    </w:p>
    <w:p w14:paraId="1DD4A2CD" w14:textId="686A9FB7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 xml:space="preserve">1. </w:t>
      </w:r>
      <w:r w:rsidR="000E12C2">
        <w:rPr>
          <w:noProof/>
          <w:lang w:eastAsia="ru-RU"/>
        </w:rPr>
        <w:t>Быстрое возведение здания;</w:t>
      </w:r>
    </w:p>
    <w:p w14:paraId="01764727" w14:textId="5D7E14A2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>2 .</w:t>
      </w:r>
      <w:r w:rsidR="000E12C2">
        <w:rPr>
          <w:noProof/>
          <w:lang w:eastAsia="ru-RU"/>
        </w:rPr>
        <w:t>Относительно невысокая стоимость возведения;</w:t>
      </w:r>
    </w:p>
    <w:p w14:paraId="21097DEC" w14:textId="48EA6CEF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0E12C2">
        <w:rPr>
          <w:noProof/>
          <w:lang w:eastAsia="ru-RU"/>
        </w:rPr>
        <w:t>Низкие затраты по эксплуатации дома;</w:t>
      </w:r>
    </w:p>
    <w:p w14:paraId="04308019" w14:textId="6461DDBF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  <w:r w:rsidR="000E12C2">
        <w:rPr>
          <w:noProof/>
          <w:lang w:eastAsia="ru-RU"/>
        </w:rPr>
        <w:t>Ремонтопригодность;</w:t>
      </w:r>
    </w:p>
    <w:p w14:paraId="53AEE123" w14:textId="1984C8D2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 xml:space="preserve">5. </w:t>
      </w:r>
      <w:r w:rsidR="000E12C2">
        <w:rPr>
          <w:noProof/>
          <w:lang w:eastAsia="ru-RU"/>
        </w:rPr>
        <w:t>Возможность обеспечить высокую энергоэффективность дома;</w:t>
      </w:r>
    </w:p>
    <w:p w14:paraId="3E934F53" w14:textId="1618F15D" w:rsidR="000E12C2" w:rsidRDefault="00213F08" w:rsidP="000E12C2">
      <w:pPr>
        <w:rPr>
          <w:noProof/>
          <w:lang w:eastAsia="ru-RU"/>
        </w:rPr>
      </w:pPr>
      <w:r>
        <w:rPr>
          <w:noProof/>
          <w:lang w:eastAsia="ru-RU"/>
        </w:rPr>
        <w:t xml:space="preserve">6. </w:t>
      </w:r>
      <w:r w:rsidR="000E12C2">
        <w:rPr>
          <w:noProof/>
          <w:lang w:eastAsia="ru-RU"/>
        </w:rPr>
        <w:t>Готовность к эксплуатации сразу после окончания строительства. Не требуется время на усадку.</w:t>
      </w:r>
    </w:p>
    <w:p w14:paraId="07069B87" w14:textId="77777777" w:rsidR="000E12C2" w:rsidRDefault="000E12C2" w:rsidP="000E12C2">
      <w:pPr>
        <w:rPr>
          <w:noProof/>
          <w:lang w:eastAsia="ru-RU"/>
        </w:rPr>
      </w:pPr>
    </w:p>
    <w:p w14:paraId="1A307DCE" w14:textId="461E8939" w:rsidR="00A75700" w:rsidRDefault="00213F08" w:rsidP="00A75700">
      <w:pPr>
        <w:jc w:val="center"/>
      </w:pPr>
      <w:r>
        <w:rPr>
          <w:noProof/>
          <w:lang w:eastAsia="ru-RU"/>
        </w:rPr>
        <w:drawing>
          <wp:inline distT="0" distB="0" distL="0" distR="0" wp14:anchorId="1C832B1F" wp14:editId="1A95A5B8">
            <wp:extent cx="5468829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019" t="32839" r="26242" b="28392"/>
                    <a:stretch/>
                  </pic:blipFill>
                  <pic:spPr bwMode="auto">
                    <a:xfrm>
                      <a:off x="0" y="0"/>
                      <a:ext cx="5496854" cy="309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8E48" w14:textId="77777777" w:rsidR="00A75700" w:rsidRPr="00914B65" w:rsidRDefault="00A75700" w:rsidP="00A75700">
      <w:pPr>
        <w:pStyle w:val="af"/>
        <w:jc w:val="center"/>
      </w:pPr>
      <w:r>
        <w:t xml:space="preserve">Рис.  </w:t>
      </w:r>
      <w:r>
        <w:fldChar w:fldCharType="begin"/>
      </w:r>
      <w:r>
        <w:instrText xml:space="preserve"> SEQ Рис._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Локация предприятия</w:t>
      </w:r>
    </w:p>
    <w:p w14:paraId="7CD404D9" w14:textId="51D800D3" w:rsidR="00930106" w:rsidRDefault="00930106" w:rsidP="00930106">
      <w:r>
        <w:t xml:space="preserve">Реализация проекта предлагается </w:t>
      </w:r>
      <w:r w:rsidR="00213F08">
        <w:t>на территории Сургутского района</w:t>
      </w:r>
      <w:r w:rsidR="00427646">
        <w:t>.</w:t>
      </w:r>
    </w:p>
    <w:p w14:paraId="100BC1F9" w14:textId="4037EEA6" w:rsidR="00930106" w:rsidRDefault="00213F08" w:rsidP="00930106">
      <w:r>
        <w:lastRenderedPageBreak/>
        <w:t>Размещение проекта на данной территории обеспечивает возможность подключения к технологической инфраструктуре, доступность трудовых ресурсов и рынка сбыта, а также имеется</w:t>
      </w:r>
      <w:r w:rsidR="0077223A">
        <w:t xml:space="preserve"> вся</w:t>
      </w:r>
      <w:r w:rsidR="0077223A" w:rsidRPr="0077223A">
        <w:t xml:space="preserve"> необходимая логистическая инфраструктура.</w:t>
      </w:r>
    </w:p>
    <w:p w14:paraId="562C1A4F" w14:textId="1A057D32" w:rsidR="00427646" w:rsidRDefault="00427646" w:rsidP="00930106">
      <w:r>
        <w:t xml:space="preserve">Реализация проекта позволит обеспечить быстрорастущий </w:t>
      </w:r>
      <w:r w:rsidR="00213F08">
        <w:t>рынок индивидуального домостроительства</w:t>
      </w:r>
      <w:r>
        <w:t xml:space="preserve"> </w:t>
      </w:r>
      <w:r w:rsidR="00A75700">
        <w:t xml:space="preserve">качественными </w:t>
      </w:r>
      <w:r w:rsidR="00213F08">
        <w:t>решениями.</w:t>
      </w:r>
    </w:p>
    <w:p w14:paraId="72CF3790" w14:textId="659236A8" w:rsidR="00930106" w:rsidRDefault="00930106" w:rsidP="00930106">
      <w:pPr>
        <w:jc w:val="center"/>
      </w:pPr>
    </w:p>
    <w:p w14:paraId="151C53C2" w14:textId="07FC8CC0" w:rsidR="002F17F6" w:rsidRDefault="00A7200D" w:rsidP="002F17F6">
      <w:pPr>
        <w:pStyle w:val="1"/>
      </w:pPr>
      <w:bookmarkStart w:id="2" w:name="_Toc84654923"/>
      <w:r>
        <w:lastRenderedPageBreak/>
        <w:t>Рынок и маркетинговая стратегия</w:t>
      </w:r>
      <w:bookmarkEnd w:id="2"/>
    </w:p>
    <w:p w14:paraId="7EB060C3" w14:textId="122A5F84" w:rsidR="00E85E30" w:rsidRPr="00E85E30" w:rsidRDefault="00E85E30" w:rsidP="00427646">
      <w:r>
        <w:t>В 2020 году строительный рынок Югры продемонстрировал значительный рост. Общ</w:t>
      </w:r>
      <w:r w:rsidR="00F4314D">
        <w:t>ая</w:t>
      </w:r>
      <w:r>
        <w:t xml:space="preserve"> </w:t>
      </w:r>
      <w:r w:rsidR="00F4314D">
        <w:t>площадь</w:t>
      </w:r>
      <w:r>
        <w:t xml:space="preserve"> введенных зданий вырос</w:t>
      </w:r>
      <w:r w:rsidR="00F4314D">
        <w:t>ла</w:t>
      </w:r>
      <w:r>
        <w:t xml:space="preserve"> на 2</w:t>
      </w:r>
      <w:r w:rsidR="00F4314D">
        <w:t>0</w:t>
      </w:r>
      <w:r>
        <w:t>%.</w:t>
      </w:r>
    </w:p>
    <w:p w14:paraId="7A5A7072" w14:textId="1CD2C01F" w:rsidR="008A5CF6" w:rsidRDefault="00F4314D" w:rsidP="00C223D8">
      <w:r>
        <w:rPr>
          <w:noProof/>
          <w:lang w:eastAsia="ru-RU"/>
        </w:rPr>
        <w:drawing>
          <wp:inline distT="0" distB="0" distL="0" distR="0" wp14:anchorId="5C212001" wp14:editId="6E2F5065">
            <wp:extent cx="5821680" cy="2743200"/>
            <wp:effectExtent l="0" t="0" r="762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4A40B0-C6AB-445E-AE3F-66645AC84A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90B114" w14:textId="663B06CE" w:rsidR="008A5CF6" w:rsidRDefault="00E85E30" w:rsidP="00F4314D">
      <w:pPr>
        <w:pStyle w:val="af"/>
        <w:jc w:val="center"/>
      </w:pPr>
      <w:r>
        <w:t xml:space="preserve">Рис.  </w:t>
      </w:r>
      <w:r w:rsidR="00556A80">
        <w:rPr>
          <w:noProof/>
        </w:rPr>
        <w:fldChar w:fldCharType="begin"/>
      </w:r>
      <w:r w:rsidR="00556A80">
        <w:rPr>
          <w:noProof/>
        </w:rPr>
        <w:instrText xml:space="preserve"> SEQ Рис._ \* ARABIC </w:instrText>
      </w:r>
      <w:r w:rsidR="00556A80">
        <w:rPr>
          <w:noProof/>
        </w:rPr>
        <w:fldChar w:fldCharType="separate"/>
      </w:r>
      <w:r w:rsidR="001370F8">
        <w:rPr>
          <w:noProof/>
        </w:rPr>
        <w:t>2</w:t>
      </w:r>
      <w:r w:rsidR="00556A80">
        <w:rPr>
          <w:noProof/>
        </w:rPr>
        <w:fldChar w:fldCharType="end"/>
      </w:r>
      <w:r>
        <w:t>. Динамика общего объема введенных зданий в ХМАО Югра,</w:t>
      </w:r>
      <w:r w:rsidR="00F4314D">
        <w:t xml:space="preserve"> тыс. кв. м.</w:t>
      </w:r>
      <w:r w:rsidR="00F4314D">
        <w:rPr>
          <w:rStyle w:val="ac"/>
        </w:rPr>
        <w:footnoteReference w:id="1"/>
      </w:r>
    </w:p>
    <w:p w14:paraId="3BB8A233" w14:textId="5DCB1CEB" w:rsidR="00F4314D" w:rsidRPr="00F4314D" w:rsidRDefault="00F4314D" w:rsidP="00F4314D">
      <w:r>
        <w:t xml:space="preserve">Главным образом рост произошел за счет жилых зданий и </w:t>
      </w:r>
      <w:r w:rsidR="00427646">
        <w:t>жилых домах,</w:t>
      </w:r>
      <w:r>
        <w:t xml:space="preserve"> построенных населением.</w:t>
      </w:r>
    </w:p>
    <w:p w14:paraId="36CF99E6" w14:textId="38F1633A" w:rsidR="00F4314D" w:rsidRPr="00F4314D" w:rsidRDefault="00F4314D" w:rsidP="00F4314D">
      <w:pPr>
        <w:pStyle w:val="af"/>
        <w:jc w:val="right"/>
      </w:pPr>
      <w:r>
        <w:t xml:space="preserve">Табл.  </w:t>
      </w:r>
      <w:r w:rsidR="00556A80">
        <w:rPr>
          <w:noProof/>
        </w:rPr>
        <w:fldChar w:fldCharType="begin"/>
      </w:r>
      <w:r w:rsidR="00556A80">
        <w:rPr>
          <w:noProof/>
        </w:rPr>
        <w:instrText xml:space="preserve"> SEQ Табл._ \* ARABIC </w:instrText>
      </w:r>
      <w:r w:rsidR="00556A80">
        <w:rPr>
          <w:noProof/>
        </w:rPr>
        <w:fldChar w:fldCharType="separate"/>
      </w:r>
      <w:r>
        <w:rPr>
          <w:noProof/>
        </w:rPr>
        <w:t>1</w:t>
      </w:r>
      <w:r w:rsidR="00556A80">
        <w:rPr>
          <w:noProof/>
        </w:rPr>
        <w:fldChar w:fldCharType="end"/>
      </w:r>
      <w:r>
        <w:t>. Общая площадь введённых зданий, тыс. кв. м.</w:t>
      </w:r>
      <w:r>
        <w:rPr>
          <w:rStyle w:val="ac"/>
        </w:rPr>
        <w:footnoteReference w:id="2"/>
      </w:r>
    </w:p>
    <w:tbl>
      <w:tblPr>
        <w:tblStyle w:val="-25"/>
        <w:tblW w:w="9209" w:type="dxa"/>
        <w:tblLook w:val="04A0" w:firstRow="1" w:lastRow="0" w:firstColumn="1" w:lastColumn="0" w:noHBand="0" w:noVBand="1"/>
      </w:tblPr>
      <w:tblGrid>
        <w:gridCol w:w="3640"/>
        <w:gridCol w:w="1889"/>
        <w:gridCol w:w="1040"/>
        <w:gridCol w:w="960"/>
        <w:gridCol w:w="840"/>
        <w:gridCol w:w="840"/>
      </w:tblGrid>
      <w:tr w:rsidR="00F4314D" w:rsidRPr="00F4314D" w14:paraId="7F2AE8F0" w14:textId="77777777" w:rsidTr="00F4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7E56DD6E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hideMark/>
          </w:tcPr>
          <w:p w14:paraId="6579CDEE" w14:textId="77777777" w:rsidR="00F4314D" w:rsidRPr="00F4314D" w:rsidRDefault="00F4314D" w:rsidP="00F431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14:paraId="0CDDFECD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hideMark/>
          </w:tcPr>
          <w:p w14:paraId="3B84C20F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0" w:type="dxa"/>
            <w:hideMark/>
          </w:tcPr>
          <w:p w14:paraId="6F158D24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0" w:type="dxa"/>
            <w:hideMark/>
          </w:tcPr>
          <w:p w14:paraId="28D49A29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2020</w:t>
            </w:r>
          </w:p>
        </w:tc>
      </w:tr>
      <w:tr w:rsidR="00F4314D" w:rsidRPr="00F4314D" w14:paraId="152E36A4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C373B6C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Жилые здания, жилые помещения в нежилых зданиях и жилые дома, построенные населением</w:t>
            </w:r>
          </w:p>
        </w:tc>
        <w:tc>
          <w:tcPr>
            <w:tcW w:w="1889" w:type="dxa"/>
            <w:hideMark/>
          </w:tcPr>
          <w:p w14:paraId="5DEF5801" w14:textId="3B76631C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420FF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60" w:type="dxa"/>
            <w:noWrap/>
            <w:hideMark/>
          </w:tcPr>
          <w:p w14:paraId="79F3D196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40" w:type="dxa"/>
            <w:noWrap/>
            <w:hideMark/>
          </w:tcPr>
          <w:p w14:paraId="19BC5531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840" w:type="dxa"/>
            <w:noWrap/>
            <w:hideMark/>
          </w:tcPr>
          <w:p w14:paraId="691CE947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1 208</w:t>
            </w:r>
          </w:p>
        </w:tc>
      </w:tr>
      <w:tr w:rsidR="00F4314D" w:rsidRPr="00F4314D" w14:paraId="5FC25D29" w14:textId="77777777" w:rsidTr="00F431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8F2EFFF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Нежилые здания</w:t>
            </w:r>
          </w:p>
        </w:tc>
        <w:tc>
          <w:tcPr>
            <w:tcW w:w="1889" w:type="dxa"/>
            <w:hideMark/>
          </w:tcPr>
          <w:p w14:paraId="0AEDC8E1" w14:textId="47C4F1B4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5F401EE7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39EE627A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40" w:type="dxa"/>
            <w:noWrap/>
            <w:hideMark/>
          </w:tcPr>
          <w:p w14:paraId="0944C501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40" w:type="dxa"/>
            <w:noWrap/>
            <w:hideMark/>
          </w:tcPr>
          <w:p w14:paraId="2E46734F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</w:tr>
      <w:tr w:rsidR="00F4314D" w:rsidRPr="00F4314D" w14:paraId="6139CCCB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3E7CE854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9" w:type="dxa"/>
            <w:hideMark/>
          </w:tcPr>
          <w:p w14:paraId="58E9B0B6" w14:textId="697959A2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182D1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60" w:type="dxa"/>
            <w:noWrap/>
            <w:hideMark/>
          </w:tcPr>
          <w:p w14:paraId="15484A7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40" w:type="dxa"/>
            <w:noWrap/>
            <w:hideMark/>
          </w:tcPr>
          <w:p w14:paraId="115DF8B3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840" w:type="dxa"/>
            <w:noWrap/>
            <w:hideMark/>
          </w:tcPr>
          <w:p w14:paraId="5D1A9E5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1647</w:t>
            </w:r>
          </w:p>
        </w:tc>
      </w:tr>
    </w:tbl>
    <w:p w14:paraId="123FE6D0" w14:textId="1413871C" w:rsidR="00F4314D" w:rsidRDefault="00F4314D" w:rsidP="00F4314D"/>
    <w:p w14:paraId="4C32FC43" w14:textId="08DDA121" w:rsidR="00FD2EFB" w:rsidRDefault="00FD2EFB" w:rsidP="00F4314D">
      <w:r>
        <w:t>В 2021 году</w:t>
      </w:r>
      <w:r w:rsidR="00427646">
        <w:t xml:space="preserve"> по данным</w:t>
      </w:r>
      <w:r>
        <w:t xml:space="preserve"> за январь-июнь 2021 года</w:t>
      </w:r>
      <w:r w:rsidR="00427646">
        <w:t xml:space="preserve"> строительный рынок продолжил свой рост. Количество введенных жилых домов возросло на 4%</w:t>
      </w:r>
      <w:r>
        <w:t>:</w:t>
      </w:r>
      <w:r w:rsidRPr="00FD2EFB">
        <w:rPr>
          <w:noProof/>
        </w:rPr>
        <w:t xml:space="preserve"> </w:t>
      </w:r>
    </w:p>
    <w:p w14:paraId="5335561A" w14:textId="77777777" w:rsidR="00427646" w:rsidRDefault="00427646" w:rsidP="00F4314D"/>
    <w:p w14:paraId="4AC1A6D1" w14:textId="6776C996" w:rsidR="00FD2EFB" w:rsidRDefault="00427646" w:rsidP="00427646">
      <w:pPr>
        <w:pStyle w:val="af"/>
        <w:jc w:val="center"/>
      </w:pPr>
      <w:r w:rsidRPr="00FD2EFB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F5C09B" wp14:editId="511DB902">
            <wp:simplePos x="0" y="0"/>
            <wp:positionH relativeFrom="page">
              <wp:posOffset>2225040</wp:posOffset>
            </wp:positionH>
            <wp:positionV relativeFrom="paragraph">
              <wp:posOffset>0</wp:posOffset>
            </wp:positionV>
            <wp:extent cx="3093720" cy="20516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 </w:t>
      </w:r>
      <w:r w:rsidR="00556A80">
        <w:rPr>
          <w:noProof/>
        </w:rPr>
        <w:fldChar w:fldCharType="begin"/>
      </w:r>
      <w:r w:rsidR="00556A80">
        <w:rPr>
          <w:noProof/>
        </w:rPr>
        <w:instrText xml:space="preserve"> SEQ Рис._ \* ARABIC </w:instrText>
      </w:r>
      <w:r w:rsidR="00556A80">
        <w:rPr>
          <w:noProof/>
        </w:rPr>
        <w:fldChar w:fldCharType="separate"/>
      </w:r>
      <w:r w:rsidR="001370F8">
        <w:rPr>
          <w:noProof/>
        </w:rPr>
        <w:t>3</w:t>
      </w:r>
      <w:r w:rsidR="00556A80">
        <w:rPr>
          <w:noProof/>
        </w:rPr>
        <w:fldChar w:fldCharType="end"/>
      </w:r>
      <w:r>
        <w:t>. Динамика ввода жилых домов в 2021 году, тыс. м.2</w:t>
      </w:r>
    </w:p>
    <w:p w14:paraId="13552EF9" w14:textId="61877562" w:rsidR="00FD2EFB" w:rsidRDefault="00427646" w:rsidP="00F4314D">
      <w:r w:rsidRPr="00FD2EF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2C4B3D" wp14:editId="53832C0B">
            <wp:simplePos x="0" y="0"/>
            <wp:positionH relativeFrom="column">
              <wp:posOffset>207645</wp:posOffset>
            </wp:positionH>
            <wp:positionV relativeFrom="paragraph">
              <wp:posOffset>17780</wp:posOffset>
            </wp:positionV>
            <wp:extent cx="2601595" cy="2895501"/>
            <wp:effectExtent l="0" t="0" r="8255" b="635"/>
            <wp:wrapTight wrapText="bothSides">
              <wp:wrapPolygon edited="0">
                <wp:start x="0" y="0"/>
                <wp:lineTo x="0" y="21463"/>
                <wp:lineTo x="21510" y="21463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/>
                    <a:stretch/>
                  </pic:blipFill>
                  <pic:spPr bwMode="auto">
                    <a:xfrm>
                      <a:off x="0" y="0"/>
                      <a:ext cx="2601595" cy="289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E0AF0C" w14:textId="6B5C66E0" w:rsidR="00427646" w:rsidRDefault="00427646" w:rsidP="00F4314D">
      <w:r w:rsidRPr="00AE14B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55AD63" wp14:editId="7850BABC">
            <wp:simplePos x="0" y="0"/>
            <wp:positionH relativeFrom="margin">
              <wp:posOffset>2821305</wp:posOffset>
            </wp:positionH>
            <wp:positionV relativeFrom="paragraph">
              <wp:posOffset>9525</wp:posOffset>
            </wp:positionV>
            <wp:extent cx="245935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16" y="21432"/>
                <wp:lineTo x="2141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563A" w14:textId="52E398FC" w:rsidR="00AE14B9" w:rsidRDefault="00AE14B9" w:rsidP="00F4314D"/>
    <w:p w14:paraId="0070CDE6" w14:textId="73125DC6" w:rsidR="00427646" w:rsidRDefault="00427646" w:rsidP="00F4314D"/>
    <w:p w14:paraId="22A474E9" w14:textId="1A25CB6A" w:rsidR="00427646" w:rsidRDefault="00427646" w:rsidP="00F4314D"/>
    <w:p w14:paraId="36F960E6" w14:textId="180724A9" w:rsidR="00427646" w:rsidRDefault="00427646" w:rsidP="00F4314D"/>
    <w:p w14:paraId="65161759" w14:textId="1B8A94C4" w:rsidR="00427646" w:rsidRDefault="00427646" w:rsidP="00F4314D"/>
    <w:p w14:paraId="2E79D81B" w14:textId="1364406E" w:rsidR="00427646" w:rsidRDefault="00427646" w:rsidP="00F4314D"/>
    <w:p w14:paraId="08086D6B" w14:textId="1DEAF685" w:rsidR="00427646" w:rsidRDefault="00427646" w:rsidP="00427646">
      <w:pPr>
        <w:pStyle w:val="af"/>
        <w:jc w:val="center"/>
      </w:pPr>
      <w:r>
        <w:t xml:space="preserve">Рис.  </w:t>
      </w:r>
      <w:r w:rsidR="00556A80">
        <w:rPr>
          <w:noProof/>
        </w:rPr>
        <w:fldChar w:fldCharType="begin"/>
      </w:r>
      <w:r w:rsidR="00556A80">
        <w:rPr>
          <w:noProof/>
        </w:rPr>
        <w:instrText xml:space="preserve"> SEQ Рис._ \* ARABIC </w:instrText>
      </w:r>
      <w:r w:rsidR="00556A80">
        <w:rPr>
          <w:noProof/>
        </w:rPr>
        <w:fldChar w:fldCharType="separate"/>
      </w:r>
      <w:r w:rsidR="00213F08">
        <w:rPr>
          <w:noProof/>
        </w:rPr>
        <w:t>4</w:t>
      </w:r>
      <w:r w:rsidR="00556A80">
        <w:rPr>
          <w:noProof/>
        </w:rPr>
        <w:fldChar w:fldCharType="end"/>
      </w:r>
      <w:r>
        <w:t>. Статистика ввода жилых домов в ХМАО-Югра</w:t>
      </w:r>
    </w:p>
    <w:p w14:paraId="7112A2FD" w14:textId="1ED14D4D" w:rsidR="00A75700" w:rsidRDefault="00A75700" w:rsidP="00A75700">
      <w:r>
        <w:t xml:space="preserve">Доля жилья, возведенного индивидуальными застройщиками, составляет 58%, что служит основанием для предположения о востребованности в </w:t>
      </w:r>
      <w:r w:rsidR="00213F08">
        <w:t>качественной технологии каркасного домостроения</w:t>
      </w:r>
      <w:r>
        <w:t>.</w:t>
      </w:r>
    </w:p>
    <w:p w14:paraId="56FE5032" w14:textId="711C987B" w:rsidR="00772CBD" w:rsidRDefault="00772CBD" w:rsidP="00A75700">
      <w:r>
        <w:t>Для успешной реализации проекта необходимо заложить маркетинговый бюджет на:</w:t>
      </w:r>
    </w:p>
    <w:p w14:paraId="4E879D2B" w14:textId="20CBE29E" w:rsidR="00772CBD" w:rsidRDefault="00772CBD" w:rsidP="00A75700">
      <w:pPr>
        <w:pStyle w:val="a3"/>
        <w:numPr>
          <w:ilvl w:val="0"/>
          <w:numId w:val="6"/>
        </w:numPr>
      </w:pPr>
      <w:r>
        <w:t>Рекламу в СМИ</w:t>
      </w:r>
    </w:p>
    <w:p w14:paraId="2DB5FB6D" w14:textId="3CEF226E" w:rsidR="00772CBD" w:rsidRDefault="00772CBD" w:rsidP="00A75700">
      <w:pPr>
        <w:pStyle w:val="a3"/>
        <w:numPr>
          <w:ilvl w:val="0"/>
          <w:numId w:val="6"/>
        </w:numPr>
      </w:pPr>
      <w:r>
        <w:t xml:space="preserve">Участие в отраслевых выставках </w:t>
      </w:r>
    </w:p>
    <w:p w14:paraId="3D08ACE1" w14:textId="74014227" w:rsidR="00772CBD" w:rsidRDefault="00772CBD" w:rsidP="00A75700">
      <w:pPr>
        <w:pStyle w:val="a3"/>
        <w:numPr>
          <w:ilvl w:val="0"/>
          <w:numId w:val="6"/>
        </w:numPr>
      </w:pPr>
      <w:r>
        <w:t>Затраты на создание и мотивацию коммерческой службы</w:t>
      </w:r>
    </w:p>
    <w:p w14:paraId="3DAC77E2" w14:textId="29D81C87" w:rsidR="00AE14B9" w:rsidRPr="00F4314D" w:rsidRDefault="00AE14B9" w:rsidP="00F4314D"/>
    <w:p w14:paraId="22A5C078" w14:textId="58AD5CFF" w:rsidR="002F17F6" w:rsidRDefault="00A7200D" w:rsidP="002F17F6">
      <w:pPr>
        <w:pStyle w:val="1"/>
      </w:pPr>
      <w:bookmarkStart w:id="3" w:name="_Toc84654924"/>
      <w:r>
        <w:lastRenderedPageBreak/>
        <w:t>Операционный план</w:t>
      </w:r>
      <w:bookmarkEnd w:id="3"/>
    </w:p>
    <w:p w14:paraId="2F8BF8BB" w14:textId="0EC95B41" w:rsidR="00213F08" w:rsidRDefault="00213F08" w:rsidP="00213F08">
      <w:r>
        <w:t xml:space="preserve">Любое строение состоит из отдельных элементов — несущих и ограждающих конструкций, утеплителя, окон, внутренней и наружной отделки, а также инженерных систем. </w:t>
      </w:r>
    </w:p>
    <w:p w14:paraId="5DBE7659" w14:textId="1DC3DE81" w:rsidR="006E64F6" w:rsidRDefault="006E64F6" w:rsidP="00213F08">
      <w:r>
        <w:t>Основные технологические работы:</w:t>
      </w:r>
    </w:p>
    <w:p w14:paraId="27D1E305" w14:textId="53CFA370" w:rsidR="00213F08" w:rsidRDefault="006E64F6" w:rsidP="00213F08">
      <w:r>
        <w:t xml:space="preserve">1. </w:t>
      </w:r>
      <w:r w:rsidR="00213F08">
        <w:t>совмещение в виде стандартных панелей — утеплителя и ограждающих конструкций, а также раскрой панелей под конкретный проект;</w:t>
      </w:r>
    </w:p>
    <w:p w14:paraId="39FEFC6D" w14:textId="6AD086BD" w:rsidR="00213F08" w:rsidRDefault="006E64F6" w:rsidP="00213F08">
      <w:r>
        <w:t xml:space="preserve">2. </w:t>
      </w:r>
      <w:r w:rsidR="00213F08">
        <w:t xml:space="preserve">раскрой и комплектация </w:t>
      </w:r>
      <w:r>
        <w:t>элементов,</w:t>
      </w:r>
      <w:r w:rsidR="00213F08">
        <w:t xml:space="preserve"> несущих конструкций под конкретный проект.</w:t>
      </w:r>
    </w:p>
    <w:p w14:paraId="5D273822" w14:textId="7C61CB40" w:rsidR="00213F08" w:rsidRDefault="006E64F6" w:rsidP="00213F08">
      <w:r>
        <w:t xml:space="preserve">3. </w:t>
      </w:r>
      <w:r w:rsidR="00213F08">
        <w:t>совмещение «стандартных» панелей и несущих конструкций в виде укрупненных панелей стен и перекрытий;</w:t>
      </w:r>
    </w:p>
    <w:p w14:paraId="44A15A3A" w14:textId="0A29F7B4" w:rsidR="00213F08" w:rsidRDefault="006E64F6" w:rsidP="00213F08">
      <w:r>
        <w:t xml:space="preserve">4. </w:t>
      </w:r>
      <w:r w:rsidR="00213F08">
        <w:t>размещение проводки, вставка окон и дверей;</w:t>
      </w:r>
    </w:p>
    <w:p w14:paraId="7D0F2FCB" w14:textId="071068FE" w:rsidR="00213F08" w:rsidRDefault="006E64F6" w:rsidP="00213F08">
      <w:r>
        <w:t xml:space="preserve">5. </w:t>
      </w:r>
      <w:r w:rsidR="00213F08">
        <w:t>внутренняя отделка панелей;</w:t>
      </w:r>
    </w:p>
    <w:p w14:paraId="4AA97EF3" w14:textId="1B989F62" w:rsidR="00213F08" w:rsidRDefault="006E64F6" w:rsidP="00213F08">
      <w:r>
        <w:t xml:space="preserve">6. </w:t>
      </w:r>
      <w:r w:rsidR="00213F08">
        <w:t>интеграция в панели фасадных решений;</w:t>
      </w:r>
    </w:p>
    <w:p w14:paraId="78728D4B" w14:textId="634C7EED" w:rsidR="002F17F6" w:rsidRDefault="006E64F6" w:rsidP="002F17F6">
      <w:pPr>
        <w:sectPr w:rsidR="002F17F6" w:rsidSect="00C223D8"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 xml:space="preserve">7. </w:t>
      </w:r>
      <w:r w:rsidR="00213F08">
        <w:t>сборка несущих и ограждающих элементов в объемные модули, с инжене</w:t>
      </w:r>
      <w:r>
        <w:t>рией, электрикой и отделкой.</w:t>
      </w:r>
    </w:p>
    <w:p w14:paraId="659A3E72" w14:textId="033E1173" w:rsidR="002F17F6" w:rsidRDefault="002F17F6" w:rsidP="002F17F6">
      <w:pPr>
        <w:pStyle w:val="1"/>
      </w:pPr>
      <w:bookmarkStart w:id="4" w:name="_Toc84654925"/>
      <w:r>
        <w:lastRenderedPageBreak/>
        <w:t>Финансовый план</w:t>
      </w:r>
      <w:bookmarkEnd w:id="4"/>
    </w:p>
    <w:tbl>
      <w:tblPr>
        <w:tblW w:w="13832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6E64F6" w:rsidRPr="006E64F6" w14:paraId="5F513A1D" w14:textId="77777777" w:rsidTr="006E64F6">
        <w:trPr>
          <w:trHeight w:val="2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CBE8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Создание производства каркасного домостроительного комбината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549A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88AD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3A3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79B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450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31D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D991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62EA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821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795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61E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87E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E64F6" w:rsidRPr="006E64F6" w14:paraId="5FECE595" w14:textId="77777777" w:rsidTr="006E64F6">
        <w:trPr>
          <w:trHeight w:val="24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5FF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0B8F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4540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7DC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358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4EF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2EE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8BC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CEE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A46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1F7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0A9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A7C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3556EAD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2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00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B0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B5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27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7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6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C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7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B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5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9D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1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95F426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79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8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F7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RANGE!C4"/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5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AF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D0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B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0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5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A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B1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9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5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D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6EDC19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5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A7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E3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23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3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6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6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4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1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D2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1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4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A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5D09A7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28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5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46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E6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2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85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F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A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1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8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2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20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3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5B4828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5C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BF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93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B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9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A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9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4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9C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F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F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7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C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</w:tr>
      <w:tr w:rsidR="006E64F6" w:rsidRPr="006E64F6" w14:paraId="1805435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04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05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B1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F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DC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4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B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4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8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3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7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7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5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6E64F6" w:rsidRPr="006E64F6" w14:paraId="13C3B3B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36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53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8A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CC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F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7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2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8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3D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F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B5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9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0C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</w:tr>
      <w:tr w:rsidR="006E64F6" w:rsidRPr="006E64F6" w14:paraId="5797802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62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21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E1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B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7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E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F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6C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5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8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B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8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2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444</w:t>
            </w:r>
          </w:p>
        </w:tc>
      </w:tr>
      <w:tr w:rsidR="006E64F6" w:rsidRPr="006E64F6" w14:paraId="318222B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3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84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EF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B50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2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5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6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1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75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3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B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9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A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DD5B6E6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7A551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1F3D4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7FAD0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1DE1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6589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D4C32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47B5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FE73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9E6A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78A9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FE8A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1032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6417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5F29FDC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0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E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1D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A4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D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9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4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B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3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4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5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5F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6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4E8A90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B6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1E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D2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F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B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E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4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5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0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4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E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1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B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6E64F6" w:rsidRPr="006E64F6" w14:paraId="33B3A56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10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3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06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F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4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F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6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F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B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D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0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9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F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6E64F6" w:rsidRPr="006E64F6" w14:paraId="0A521E0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20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5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4B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8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1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6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1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C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4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D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4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6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0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6E64F6" w:rsidRPr="006E64F6" w14:paraId="61DCAA7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82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F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50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E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97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76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25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4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F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3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3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7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3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6E64F6" w:rsidRPr="006E64F6" w14:paraId="527AC26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7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B6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B6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2B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F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4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A0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6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0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5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6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E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1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4A20C8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D9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6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72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8C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3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F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2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E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2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3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E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C0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3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DF8C53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8B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5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31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3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B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8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A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4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F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9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A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A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F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6E64F6" w:rsidRPr="006E64F6" w14:paraId="3AD13F5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96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10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2D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3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5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6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0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F2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B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3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9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71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1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6E64F6" w:rsidRPr="006E64F6" w14:paraId="0E1EACB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BC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90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88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C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E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E3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C7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B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5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5C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E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7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9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6E64F6" w:rsidRPr="006E64F6" w14:paraId="63D041C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0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BC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F3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C7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3B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E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0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1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F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D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9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5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B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D7F44D1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77CDA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A19442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65866C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6AEB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CA41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39EB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12CE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7679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301F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847EA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0795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0550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EA81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3250ACA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8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71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A9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0F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1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6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2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C4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17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0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53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9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2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06B931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BB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73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EE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D9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7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AD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1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5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B4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5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B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C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A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E64F6" w:rsidRPr="006E64F6" w14:paraId="73B75CA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A6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AA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FC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B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4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B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BB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D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D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4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1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6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6E64F6" w:rsidRPr="006E64F6" w14:paraId="3F4DC48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7F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56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34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F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8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0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1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B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7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A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7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A2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8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E64F6" w:rsidRPr="006E64F6" w14:paraId="1F1CACB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E7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3A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D1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6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210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6E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1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3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41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D0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BB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5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5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E64F6" w:rsidRPr="006E64F6" w14:paraId="709D475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65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52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D24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CC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4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D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3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3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B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7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9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7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8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6EFFCF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5D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A8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E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32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03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A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1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0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9B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5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6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8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2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66EEFD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C8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2C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26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2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9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7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0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6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C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B0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5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0D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0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E64F6" w:rsidRPr="006E64F6" w14:paraId="4E346C6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84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9C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F7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5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C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1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E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B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0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9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2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92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A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E64F6" w:rsidRPr="006E64F6" w14:paraId="33007B2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62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1F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12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E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5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9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5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7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5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C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D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7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37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E64F6" w:rsidRPr="006E64F6" w14:paraId="78B0F71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3F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A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7C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3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7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B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2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F6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8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3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B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06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4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128,8</w:t>
            </w:r>
          </w:p>
        </w:tc>
      </w:tr>
      <w:tr w:rsidR="006E64F6" w:rsidRPr="006E64F6" w14:paraId="12173B3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AF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2B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B9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4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A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8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4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8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3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F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1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9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77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E64F6" w:rsidRPr="006E64F6" w14:paraId="23DDA37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7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AF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94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B3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0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2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5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7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E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47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33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5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2B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1C17ACE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D40E4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3486A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1F35E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46381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7E7A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3579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74632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0D38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376C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3702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5F6C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D378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7BABB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2182F5F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A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C94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Цикл, дн.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7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F9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B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C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5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E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BE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2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8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9B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A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C99767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ADC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6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C4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B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8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4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0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9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9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4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2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E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4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6E64F6" w:rsidRPr="006E64F6" w14:paraId="16CC368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8A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B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1FB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E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AD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6E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9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1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7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2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313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5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8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E64F6" w:rsidRPr="006E64F6" w14:paraId="699558A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998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F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6E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0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0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6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C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29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9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FD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5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1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E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E64F6" w:rsidRPr="006E64F6" w14:paraId="2356C6B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2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98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BA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07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F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0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0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F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9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6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C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9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8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300351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75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D4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E0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3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C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8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2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0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2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C2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9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31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E64F6" w:rsidRPr="006E64F6" w14:paraId="59AF873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37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0A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CD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0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C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F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B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5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A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B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B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D0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C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E64F6" w:rsidRPr="006E64F6" w14:paraId="442E93F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7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24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A39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18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E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3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51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C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1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F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9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5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2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C5D2A6A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EF790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028C3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C8B8F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66CF0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C4F05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E8712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EFC3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1DBF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34F1E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6129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77A7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6D6ED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4202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2F6B36B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4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3F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91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50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3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3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D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1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3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1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3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0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3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5AD290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04D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D6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4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E0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D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5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7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D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36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B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0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DA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1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E8261B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36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B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86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0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6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6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B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F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3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F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E5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7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7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</w:tr>
      <w:tr w:rsidR="006E64F6" w:rsidRPr="006E64F6" w14:paraId="56431DB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22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1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8F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1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E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2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1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F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0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7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56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1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C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2AC62A8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7C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2B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7F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D2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B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1D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5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5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1B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4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6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2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4E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8957FA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27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D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4E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C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0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A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F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A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1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9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A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9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4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557E13A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4C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11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EE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4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9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9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0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8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0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6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A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4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60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6295DBC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CF5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4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61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11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7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4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7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E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9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F6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40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D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49DD6CB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0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54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8A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78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DF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3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A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9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F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4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F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5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F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1077BB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32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D0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68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C4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B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7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A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76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0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D1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93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3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1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7A19D8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E5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3F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6A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B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0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27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2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1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F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0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52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A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D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6E64F6" w:rsidRPr="006E64F6" w14:paraId="50656EF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50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CB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A4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0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F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6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B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4D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8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6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4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E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80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6E64F6" w:rsidRPr="006E64F6" w14:paraId="385C1A8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34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B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096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C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D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C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9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C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5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2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0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FE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4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E64F6" w:rsidRPr="006E64F6" w14:paraId="5239384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3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22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8B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79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2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E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9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B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1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1C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5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2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DB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95BBF6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19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DD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2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AD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D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9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94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6D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E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2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5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7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E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DB50D4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D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5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B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51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1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A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2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F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2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D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C9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5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B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878636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3F4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7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D7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4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D6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8F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F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4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6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8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E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5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C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E64F6" w:rsidRPr="006E64F6" w14:paraId="41D66A6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62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36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9E6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98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A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5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D4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C9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7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AF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4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4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6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E64F6" w:rsidRPr="006E64F6" w14:paraId="4D23EAC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2A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A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E2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2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1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EB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F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A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C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9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F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3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17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5D3A9F7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79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7E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01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43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5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3F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0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72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B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0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72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5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CB62DA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635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DC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EF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2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D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6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D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23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E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2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1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1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1D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BC8885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1F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F2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82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30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5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9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B4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5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82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A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4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72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6E64F6" w:rsidRPr="006E64F6" w14:paraId="2C01EFE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99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4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16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4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A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1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1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1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3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9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6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7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E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6E64F6" w:rsidRPr="006E64F6" w14:paraId="652AC8F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8F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7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C0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3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1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F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2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D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B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9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B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A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6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E64F6" w:rsidRPr="006E64F6" w14:paraId="4CCC2EE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7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679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36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97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F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D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5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6A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8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EB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6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C9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EC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A36335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F4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C5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9C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DE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E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1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2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F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9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C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8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B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90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2A8821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5A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17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14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CB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C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5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67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B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9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5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D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3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D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6E64F6" w:rsidRPr="006E64F6" w14:paraId="0DE8FF2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FC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76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2E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B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C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D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1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9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F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C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9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8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D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6E64F6" w:rsidRPr="006E64F6" w14:paraId="33B0004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A0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CD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08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F7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C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D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F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4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2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E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0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D0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4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1A816DD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A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7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54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9B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10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D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F0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1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B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71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AC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F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0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BE904CD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607A4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3F91B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C6F66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2E863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375C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D5B3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45D6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4B59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C71BA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7C44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55478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4B16A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4BE6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42A59DC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9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EE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41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C7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A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25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A2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B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3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1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B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D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3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81FA21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ED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5A3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45B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FA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B6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7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C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7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0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C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E9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2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0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B18040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503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F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C66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77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5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C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9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1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B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D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1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BC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9F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816269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7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8E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F9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34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F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A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8A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B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3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6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C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5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7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174C0F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E8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22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15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F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2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6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2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34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3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9C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2F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6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A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1E775E4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B2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71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2B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2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A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7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4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C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8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6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B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C2D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4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E64F6" w:rsidRPr="006E64F6" w14:paraId="53DE33E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A77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8E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97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8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B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E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B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A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E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1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112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D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B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</w:tr>
      <w:tr w:rsidR="006E64F6" w:rsidRPr="006E64F6" w14:paraId="330B188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77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F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E4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4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6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0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D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6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55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F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4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8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E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9 512</w:t>
            </w:r>
          </w:p>
        </w:tc>
      </w:tr>
      <w:tr w:rsidR="006E64F6" w:rsidRPr="006E64F6" w14:paraId="6BB2CD4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4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E7E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CE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67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D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D0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B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A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2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49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1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99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5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5AD256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17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59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5E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D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68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1B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147 120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06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9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A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F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E5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4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4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248FAE0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4B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8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BC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20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C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61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B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0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62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17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6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F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03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63 528</w:t>
            </w:r>
          </w:p>
        </w:tc>
      </w:tr>
      <w:tr w:rsidR="006E64F6" w:rsidRPr="006E64F6" w14:paraId="40E0818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95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0C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A8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7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7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92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8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4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8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A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20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8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C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</w:tr>
      <w:tr w:rsidR="006E64F6" w:rsidRPr="006E64F6" w14:paraId="579FD9C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34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D3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095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6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E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B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7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6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D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7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07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B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F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41 332</w:t>
            </w:r>
          </w:p>
        </w:tc>
      </w:tr>
      <w:tr w:rsidR="006E64F6" w:rsidRPr="006E64F6" w14:paraId="6B5D5FD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8B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C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78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4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5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6EB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1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C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B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E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B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8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8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6E64F6" w:rsidRPr="006E64F6" w14:paraId="2958E27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4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5E7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FA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2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3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5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1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D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1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F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3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74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7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5 243</w:t>
            </w:r>
          </w:p>
        </w:tc>
      </w:tr>
      <w:tr w:rsidR="006E64F6" w:rsidRPr="006E64F6" w14:paraId="38DD092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2B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4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D4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7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2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B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7D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F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B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9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7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2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9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6E64F6" w:rsidRPr="006E64F6" w14:paraId="53E51CF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8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4B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B2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30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5D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9E8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2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6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F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F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2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0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6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C0C49F0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94AAC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68BB4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E69AD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CE2A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52A3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4B4C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BE7E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CF4D8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8332A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E7F8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300D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97B5D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BAF9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298EF9B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5A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4B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AA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1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E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7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D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F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0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3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C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A1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E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B588EF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754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3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A8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E6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A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A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D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9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4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D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6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2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1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11 890</w:t>
            </w:r>
          </w:p>
        </w:tc>
      </w:tr>
      <w:tr w:rsidR="006E64F6" w:rsidRPr="006E64F6" w14:paraId="32B86BE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61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B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F2B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2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62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D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C9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F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2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D8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D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7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BC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E64F6" w:rsidRPr="006E64F6" w14:paraId="2900520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7C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7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F2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D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F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E3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6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B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6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8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B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D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F2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E64F6" w:rsidRPr="006E64F6" w14:paraId="7A6CF2A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7C4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B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9C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0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B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3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6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D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4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6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5C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4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F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E64F6" w:rsidRPr="006E64F6" w14:paraId="37E67AE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A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85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3E6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9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6E5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3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6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2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E9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E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4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D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7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178637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F3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2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E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93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A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2C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04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C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A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A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5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6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C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1DDF2F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16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D5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30B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7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2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B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5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A7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34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0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3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C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FB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6E64F6" w:rsidRPr="006E64F6" w14:paraId="3DDC5A4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8C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4A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73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7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9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1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4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4B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6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6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3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5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6D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</w:t>
            </w:r>
          </w:p>
        </w:tc>
      </w:tr>
      <w:tr w:rsidR="006E64F6" w:rsidRPr="006E64F6" w14:paraId="3187AC7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6B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E3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28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8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2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3D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7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9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D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4D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E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11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4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0D86CEC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7A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D7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5A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5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C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4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71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E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3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50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F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4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8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E64F6" w:rsidRPr="006E64F6" w14:paraId="3F641B3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6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9C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64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71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5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2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E5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6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5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1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0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39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E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E305D0E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73C53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61EBC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A01E6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BBCD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D616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380C4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3CD5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C4DB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3085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90F7D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804D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E26CD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B0FE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7ABBC58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BA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7B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F7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6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8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6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A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C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0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9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6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5B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3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3C3EA1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5E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9B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45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3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5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6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C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5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4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1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D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4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D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</w:tr>
      <w:tr w:rsidR="006E64F6" w:rsidRPr="006E64F6" w14:paraId="358A730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1A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FE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31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B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6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6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23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7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C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0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5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3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4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</w:tr>
      <w:tr w:rsidR="006E64F6" w:rsidRPr="006E64F6" w14:paraId="6BE6716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A0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1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B8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8E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1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B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D2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0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3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8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7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24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F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</w:tr>
      <w:tr w:rsidR="006E64F6" w:rsidRPr="006E64F6" w14:paraId="224A435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79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2D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CFE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A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D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E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4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5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6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3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4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7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6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</w:t>
            </w:r>
          </w:p>
        </w:tc>
      </w:tr>
      <w:tr w:rsidR="006E64F6" w:rsidRPr="006E64F6" w14:paraId="71625D6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F2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2B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894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6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7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C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99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6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C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C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F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3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4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</w:tr>
      <w:tr w:rsidR="006E64F6" w:rsidRPr="006E64F6" w14:paraId="789AA5F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0C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DA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AD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5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2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A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E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3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A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4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4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9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AE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</w:tr>
      <w:tr w:rsidR="006E64F6" w:rsidRPr="006E64F6" w14:paraId="422D094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4A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5D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A4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E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A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A4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01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9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A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A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4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0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6E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</w:tr>
      <w:tr w:rsidR="006E64F6" w:rsidRPr="006E64F6" w14:paraId="0A4E926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7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3C5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88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B4F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3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16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1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FC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D7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E1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F4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9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C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8FC952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7F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2ED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92B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3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D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F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C7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EC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D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A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E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01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8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-116</w:t>
            </w:r>
          </w:p>
        </w:tc>
      </w:tr>
      <w:tr w:rsidR="006E64F6" w:rsidRPr="006E64F6" w14:paraId="7937EA6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CA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93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9E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79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-5 733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9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F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B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E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4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-15 680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9D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-13 391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0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-10 892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8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F7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-5 243</w:t>
            </w:r>
          </w:p>
        </w:tc>
      </w:tr>
      <w:tr w:rsidR="006E64F6" w:rsidRPr="006E64F6" w14:paraId="11F5DF1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46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6A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43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5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D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69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A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20 113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3D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24 755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0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B0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28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C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A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59 451</w:t>
            </w:r>
          </w:p>
        </w:tc>
      </w:tr>
      <w:tr w:rsidR="006E64F6" w:rsidRPr="006E64F6" w14:paraId="70053C9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87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5E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CD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B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0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4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F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D0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-4 951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3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-6 043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7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C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8E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E7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-11 890</w:t>
            </w:r>
          </w:p>
        </w:tc>
      </w:tr>
      <w:tr w:rsidR="006E64F6" w:rsidRPr="006E64F6" w14:paraId="419923A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8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D0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66F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B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66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8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8C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16 090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E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19 804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9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24 170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5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28 797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E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33 699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D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42 091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3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47 561</w:t>
            </w:r>
          </w:p>
        </w:tc>
      </w:tr>
      <w:tr w:rsidR="006E64F6" w:rsidRPr="006E64F6" w14:paraId="41358C9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F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5C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4B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EB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C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8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8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D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25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D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E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B9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3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E97CDA4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5EF8A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C763EA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4DEBD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5DCE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CBE3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F3F0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531D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AA7D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9DEE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C3F0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FF79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2D70B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F095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6F71C4C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F4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FB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0E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AA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F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8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6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A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E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A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EE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E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B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490E16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32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7B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31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C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4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C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5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5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19 804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6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A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28 797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5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B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E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47 561</w:t>
            </w:r>
          </w:p>
        </w:tc>
      </w:tr>
      <w:tr w:rsidR="006E64F6" w:rsidRPr="006E64F6" w14:paraId="2E83460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33C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B3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8B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A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4D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E7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2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1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6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AB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2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5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7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6E64F6" w:rsidRPr="006E64F6" w14:paraId="2A5AE45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B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CFA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B6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B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8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E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F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2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A4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E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F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8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0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6E64F6" w:rsidRPr="006E64F6" w14:paraId="5A54897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7B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BB7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2A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C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C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2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A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37 444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F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53 753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B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58 077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1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62 660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4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67 517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F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71 861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B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77 282</w:t>
            </w:r>
          </w:p>
        </w:tc>
      </w:tr>
      <w:tr w:rsidR="006E64F6" w:rsidRPr="006E64F6" w14:paraId="751219F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8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35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69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A0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F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9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B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F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F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8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0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C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2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E6F474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F19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86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E66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DA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CA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4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9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B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A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F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3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1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3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1CE2E51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F4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6C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E4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F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2B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B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55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B1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2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7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2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55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693F985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F2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3E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5A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5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CF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D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2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4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0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C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9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E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8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073CE79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25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4B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06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7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B8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1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F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E7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C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9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0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1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5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5CE3CE6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0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52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2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6D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A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2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1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8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BD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4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0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2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9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9030F3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41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2E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F8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6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F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7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1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7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E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C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1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1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D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3A04C87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4A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F8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B3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3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E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7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147 120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56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1D7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5D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5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7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6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4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79E3E77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29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24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A6B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B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8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9A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C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-28 008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F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-41 832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C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-45 784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2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-49 985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CB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-54 449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E8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-58 523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6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-63 528</w:t>
            </w:r>
          </w:p>
        </w:tc>
      </w:tr>
      <w:tr w:rsidR="006E64F6" w:rsidRPr="006E64F6" w14:paraId="1B5467B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2E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A6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C4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20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E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9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4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0D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-3 961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E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D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8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-6 740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3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8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-9 512</w:t>
            </w:r>
          </w:p>
        </w:tc>
      </w:tr>
      <w:tr w:rsidR="006E64F6" w:rsidRPr="006E64F6" w14:paraId="41713CB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D5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9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32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77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7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133 664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2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160 741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1B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-31 226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9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-45 793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B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-50 618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A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-55 745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C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-61 188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2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-66 941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86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-73 040</w:t>
            </w:r>
          </w:p>
        </w:tc>
      </w:tr>
      <w:tr w:rsidR="006E64F6" w:rsidRPr="006E64F6" w14:paraId="0377B59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1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82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ED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995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2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B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E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E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5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4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F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7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9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A71C2A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D9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BE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CB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4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4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96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6F3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4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9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6 916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C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6 328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0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4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4 242</w:t>
            </w:r>
          </w:p>
        </w:tc>
      </w:tr>
      <w:tr w:rsidR="006E64F6" w:rsidRPr="006E64F6" w14:paraId="246F725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85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42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C8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F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C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8E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0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7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8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1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6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3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7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</w:tr>
      <w:tr w:rsidR="006E64F6" w:rsidRPr="006E64F6" w14:paraId="5282097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640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F4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ADD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0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CD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56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CA6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6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C2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AB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71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6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E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44 043</w:t>
            </w:r>
          </w:p>
        </w:tc>
      </w:tr>
      <w:tr w:rsidR="006E64F6" w:rsidRPr="006E64F6" w14:paraId="5C06E06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1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92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3D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8F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4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D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C1E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F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F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6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7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E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4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5F032A3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DB4D5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32195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02A3D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54B1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1AC9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BD70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A132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A0E9D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B07C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B81E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79C2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228F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AEBDF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5D47175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3B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4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35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F5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3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3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B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6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1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D4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F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0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F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1BBBC5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2D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A1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1C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7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9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E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0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A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D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F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2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9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A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6E64F6" w:rsidRPr="006E64F6" w14:paraId="3891344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D6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07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86B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16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EE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4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3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1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A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9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96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50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2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6E64F6" w:rsidRPr="006E64F6" w14:paraId="3A5C139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F9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4E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C096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F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F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8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6D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E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C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B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22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45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7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5655F60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30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A9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C71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4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C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59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8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A9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5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0F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BC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D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4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611</w:t>
            </w:r>
          </w:p>
        </w:tc>
      </w:tr>
      <w:tr w:rsidR="006E64F6" w:rsidRPr="006E64F6" w14:paraId="49B37DA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6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BC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98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EA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0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D0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5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7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8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A1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6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41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DB8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9455DF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2A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AB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2B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E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FA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0A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0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5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E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1D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2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B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4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E64F6" w:rsidRPr="006E64F6" w14:paraId="0F8DAB8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72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38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19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A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9E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5E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E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A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2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50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6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B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9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6E64F6" w:rsidRPr="006E64F6" w14:paraId="3056531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BF1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6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C2C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7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3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D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8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81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A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5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C9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2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9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44 043</w:t>
            </w:r>
          </w:p>
        </w:tc>
      </w:tr>
      <w:tr w:rsidR="006E64F6" w:rsidRPr="006E64F6" w14:paraId="39D0F25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46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E8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D07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9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D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58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0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9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D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2B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0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3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1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83 381</w:t>
            </w:r>
          </w:p>
        </w:tc>
      </w:tr>
      <w:tr w:rsidR="006E64F6" w:rsidRPr="006E64F6" w14:paraId="4DEA933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69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46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F7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6A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64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50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1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B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27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2B1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90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F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A5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7EA0DA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A7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20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B3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9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8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33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2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402 307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3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C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3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E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8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8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246 381</w:t>
            </w:r>
          </w:p>
        </w:tc>
      </w:tr>
      <w:tr w:rsidR="006E64F6" w:rsidRPr="006E64F6" w14:paraId="14E97A6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2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BC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3A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5B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6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2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4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D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4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34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89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88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3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5E1E2B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81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BB3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CA9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F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61A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A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9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CA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69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4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9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A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40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E64F6" w:rsidRPr="006E64F6" w14:paraId="242F27F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DC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6D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67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36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1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-10 805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2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8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2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2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7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87 244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9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120 917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C3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158 965</w:t>
            </w:r>
          </w:p>
        </w:tc>
      </w:tr>
      <w:tr w:rsidR="006E64F6" w:rsidRPr="006E64F6" w14:paraId="2CC9A6D0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C9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CB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81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4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22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D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3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B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04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5D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100 285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7E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127 244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6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160 917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E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198 965</w:t>
            </w:r>
          </w:p>
        </w:tc>
      </w:tr>
      <w:tr w:rsidR="006E64F6" w:rsidRPr="006E64F6" w14:paraId="64B120F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1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2A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34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8C3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C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A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7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F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D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2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5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1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6E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80FC6F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BAB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84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9C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9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114 657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3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236 321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C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383 441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0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355 433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A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B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0A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217 831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26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163 382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D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104 860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A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41 332</w:t>
            </w:r>
          </w:p>
        </w:tc>
      </w:tr>
      <w:tr w:rsidR="006E64F6" w:rsidRPr="006E64F6" w14:paraId="638103A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6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70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70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7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9A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62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8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D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14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7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7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77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1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E64F6" w:rsidRPr="006E64F6" w14:paraId="2E373BB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EE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D1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DB2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E4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B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7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1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F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A0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0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D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A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B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339D98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F1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2A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99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D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4A4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F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414 947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44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402 307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8A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376 511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F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350 263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5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323 524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9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296 251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8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271 626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A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246 381</w:t>
            </w:r>
          </w:p>
        </w:tc>
      </w:tr>
      <w:tr w:rsidR="006E64F6" w:rsidRPr="006E64F6" w14:paraId="5D4FAD9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9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F3B0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9815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B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F7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A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C65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7E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1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9F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87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1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2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E64F6" w:rsidRPr="006E64F6" w14:paraId="043F8A4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B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1C9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93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DF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24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C7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50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3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9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EB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9E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04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2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6D6DE3B" w14:textId="77777777" w:rsidTr="006E64F6">
        <w:trPr>
          <w:trHeight w:val="402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4A88F2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8877F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6F7D2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1FFD2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3FBA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ED36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531D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8FA8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445DC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CEBE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B630C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1F3E9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638A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</w:tr>
      <w:tr w:rsidR="006E64F6" w:rsidRPr="006E64F6" w14:paraId="3338726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F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EE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32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3D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FC5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E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A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A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B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E9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10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8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C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E59FCA3" w14:textId="77777777" w:rsidTr="006E64F6">
        <w:trPr>
          <w:trHeight w:val="240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EF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722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F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A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B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F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8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BA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5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F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1D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13 338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1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13 754</w:t>
            </w:r>
          </w:p>
        </w:tc>
      </w:tr>
      <w:tr w:rsidR="006E64F6" w:rsidRPr="006E64F6" w14:paraId="330E7FA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3B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3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2D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A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D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42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2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2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0F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1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D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C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2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</w:tr>
      <w:tr w:rsidR="006E64F6" w:rsidRPr="006E64F6" w14:paraId="644F554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C7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EE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9E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5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B9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6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B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F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055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0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4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6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F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6E64F6" w:rsidRPr="006E64F6" w14:paraId="03DA3B82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F4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D2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BEA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A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38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-10 435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7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-10 299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CA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EA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6 816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9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15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EE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C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57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3 910</w:t>
            </w:r>
          </w:p>
        </w:tc>
      </w:tr>
      <w:tr w:rsidR="006E64F6" w:rsidRPr="006E64F6" w14:paraId="4133AED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C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27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EE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07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6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9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A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C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F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5A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1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3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5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A50990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A7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0A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EF4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548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F4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6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C6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D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B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C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9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12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82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BA29D0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7F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85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38F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169E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B2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5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F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E2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B4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7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B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8F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8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36E6C4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3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7B7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61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6B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3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B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D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5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E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3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10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F77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D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E7702D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8C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17B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996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C0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35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A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-37 621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9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-28 185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D1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-16 264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2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-3 971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E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3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97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94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48 864</w:t>
            </w:r>
          </w:p>
        </w:tc>
      </w:tr>
      <w:tr w:rsidR="006E64F6" w:rsidRPr="006E64F6" w14:paraId="2E4A423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4D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0A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B19" w14:textId="77777777" w:rsidR="006E64F6" w:rsidRPr="006E64F6" w:rsidRDefault="006E64F6" w:rsidP="006E6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7C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3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-22 435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C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-32 734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96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-26 530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63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-19 714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D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-13 602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F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-8 123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C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-3 210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F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8F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5 060</w:t>
            </w:r>
          </w:p>
        </w:tc>
      </w:tr>
      <w:tr w:rsidR="006E64F6" w:rsidRPr="006E64F6" w14:paraId="7290D9F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C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F6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C8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12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FE4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9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2C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1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B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04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4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33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A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52A54D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5DB" w14:textId="18ABD91E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BB21459" wp14:editId="352CF47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22860</wp:posOffset>
                  </wp:positionV>
                  <wp:extent cx="4267200" cy="2545080"/>
                  <wp:effectExtent l="0" t="0" r="0" b="7620"/>
                  <wp:wrapNone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4F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C38B19" wp14:editId="0C00BA26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22860</wp:posOffset>
                  </wp:positionV>
                  <wp:extent cx="4244340" cy="2545080"/>
                  <wp:effectExtent l="0" t="0" r="3810" b="7620"/>
                  <wp:wrapNone/>
                  <wp:docPr id="5" name="Диаграмма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6E64F6" w:rsidRPr="006E64F6" w14:paraId="3EDCDD31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2A8A7" w14:textId="77777777" w:rsidR="006E64F6" w:rsidRPr="006E64F6" w:rsidRDefault="006E64F6" w:rsidP="006E64F6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3A1E886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F7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78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61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67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5B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E8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C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0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45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9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65A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7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544F0C4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BCE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96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D8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77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4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C0E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4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96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B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48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7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DC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4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3C0A3E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6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E6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57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B5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E1C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B6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F2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D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0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F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FB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64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5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35D14D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E4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82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BE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5F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69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9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A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C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87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6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F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EB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F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522483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3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031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25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A1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C0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CB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A8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70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82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1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8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79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F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E82B8B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4D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73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58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65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1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E1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B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DD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7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F3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8CB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5D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0F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60B7F8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E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0D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16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DD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69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7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F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0D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DA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44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8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D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EE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4ECC0D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C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66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29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BF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2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9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29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08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E1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828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2F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C1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C3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CBBB9AA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C3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F8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B7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03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D7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915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24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76C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3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FC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6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0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5C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67657D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C1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CD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AE4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CB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3F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14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5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A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C6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B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C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0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50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951FD38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2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00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773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32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6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A9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A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3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F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81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7F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3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3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C1EFFA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EB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F3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55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811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F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7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F3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F4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A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11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28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0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83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9A975E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7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B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1B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A5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C9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E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DC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C1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C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6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1A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D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2F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BB75C7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1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E13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F6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E4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74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1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C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6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40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FB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12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B5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4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73F6A53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12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8B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92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36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B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8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98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AA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B0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E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E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7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13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560BB57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ED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05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9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AA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C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33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AF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83D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43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78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AD9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50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CE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1C24545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CB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3D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1B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2C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6B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B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17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6F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4E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D0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B1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71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14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516F527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0EF" w14:textId="59ABFF4C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E64F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DBC2615" wp14:editId="797D5E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4351020" cy="1394460"/>
                  <wp:effectExtent l="0" t="0" r="11430" b="15240"/>
                  <wp:wrapNone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4F2145F-10B4-4AB7-8B05-62B9E87954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4F6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60DD1F6" wp14:editId="6822772A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152400</wp:posOffset>
                  </wp:positionV>
                  <wp:extent cx="4335780" cy="1386840"/>
                  <wp:effectExtent l="0" t="0" r="7620" b="3810"/>
                  <wp:wrapNone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4982691-C6E6-44C5-A5BD-8C005DAEA0A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6E64F6" w:rsidRPr="006E64F6" w14:paraId="33EA9424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46BDB" w14:textId="77777777" w:rsidR="006E64F6" w:rsidRPr="006E64F6" w:rsidRDefault="006E64F6" w:rsidP="006E64F6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4941EBE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4AC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9F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3F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2C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C6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00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28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9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FD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7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2E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10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2E1E1EB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54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25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26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08A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2A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F1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57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3A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3F5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D3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6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43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3D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356F7EE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83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C8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F1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8D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E1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D7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C8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0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9B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E9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4C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7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D2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74F39B3D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7C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A0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1BF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21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0A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1E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5F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2F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45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C0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E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F5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989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A66780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0F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8CA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6D4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7D1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D1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68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84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9D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4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A9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F6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2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57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D501C46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90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239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36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EA7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2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67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DA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C2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792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E9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35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AD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03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4851A6DF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36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6B5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39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6DA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68F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110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8F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A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25A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8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AF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13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C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69739FEC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55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6E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71B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ABD0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EB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EE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D3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9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5B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FF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92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C6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92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1746FB8E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A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02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A8D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2B8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2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98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0E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FD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BB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97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85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B64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B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04BC8679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0E2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DB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77C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05E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456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E4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1F1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89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1F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DF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653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2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F3C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F6" w:rsidRPr="006E64F6" w14:paraId="21D28C51" w14:textId="77777777" w:rsidTr="006E64F6">
        <w:trPr>
          <w:trHeight w:val="2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53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7E4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F66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9A2" w14:textId="77777777" w:rsidR="006E64F6" w:rsidRPr="006E64F6" w:rsidRDefault="006E64F6" w:rsidP="006E64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62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C85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1C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3AB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8AD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1B8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6D7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529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26E" w14:textId="77777777" w:rsidR="006E64F6" w:rsidRPr="006E64F6" w:rsidRDefault="006E64F6" w:rsidP="006E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Default="002F17F6" w:rsidP="002F17F6"/>
    <w:sectPr w:rsidR="002F17F6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CC46" w14:textId="77777777" w:rsidR="000D6D9D" w:rsidRDefault="000D6D9D" w:rsidP="002F17F6">
      <w:pPr>
        <w:spacing w:after="0" w:line="240" w:lineRule="auto"/>
      </w:pPr>
      <w:r>
        <w:separator/>
      </w:r>
    </w:p>
  </w:endnote>
  <w:endnote w:type="continuationSeparator" w:id="0">
    <w:p w14:paraId="0679FF34" w14:textId="77777777" w:rsidR="000D6D9D" w:rsidRDefault="000D6D9D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37497"/>
      <w:docPartObj>
        <w:docPartGallery w:val="Page Numbers (Bottom of Page)"/>
        <w:docPartUnique/>
      </w:docPartObj>
    </w:sdtPr>
    <w:sdtContent>
      <w:p w14:paraId="741C38B6" w14:textId="737FE996" w:rsidR="00556A80" w:rsidRDefault="00556A8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18472"/>
      <w:docPartObj>
        <w:docPartGallery w:val="Page Numbers (Bottom of Page)"/>
        <w:docPartUnique/>
      </w:docPartObj>
    </w:sdtPr>
    <w:sdtContent>
      <w:p w14:paraId="657E4FF6" w14:textId="77777777" w:rsidR="00556A80" w:rsidRDefault="00556A8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F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B6D57" w14:textId="77777777" w:rsidR="000D6D9D" w:rsidRDefault="000D6D9D" w:rsidP="002F17F6">
      <w:pPr>
        <w:spacing w:after="0" w:line="240" w:lineRule="auto"/>
      </w:pPr>
      <w:r>
        <w:separator/>
      </w:r>
    </w:p>
  </w:footnote>
  <w:footnote w:type="continuationSeparator" w:id="0">
    <w:p w14:paraId="6257D94B" w14:textId="77777777" w:rsidR="000D6D9D" w:rsidRDefault="000D6D9D" w:rsidP="002F17F6">
      <w:pPr>
        <w:spacing w:after="0" w:line="240" w:lineRule="auto"/>
      </w:pPr>
      <w:r>
        <w:continuationSeparator/>
      </w:r>
    </w:p>
  </w:footnote>
  <w:footnote w:id="1">
    <w:p w14:paraId="76042926" w14:textId="620165C0" w:rsidR="00556A80" w:rsidRPr="00F4314D" w:rsidRDefault="00556A80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  <w:footnote w:id="2">
    <w:p w14:paraId="1F788788" w14:textId="2AA6EFB2" w:rsidR="00556A80" w:rsidRDefault="00556A80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7C25" w14:textId="372032DD" w:rsidR="00556A80" w:rsidRDefault="00556A80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D"/>
    <w:rsid w:val="000D6D9D"/>
    <w:rsid w:val="000E12C2"/>
    <w:rsid w:val="000F1C4B"/>
    <w:rsid w:val="000F67FC"/>
    <w:rsid w:val="001004DC"/>
    <w:rsid w:val="001370F8"/>
    <w:rsid w:val="00150170"/>
    <w:rsid w:val="0017743D"/>
    <w:rsid w:val="001A1F0D"/>
    <w:rsid w:val="00213F08"/>
    <w:rsid w:val="0026583E"/>
    <w:rsid w:val="002B3F50"/>
    <w:rsid w:val="002F17F6"/>
    <w:rsid w:val="002F5074"/>
    <w:rsid w:val="00365899"/>
    <w:rsid w:val="00382D72"/>
    <w:rsid w:val="003E367C"/>
    <w:rsid w:val="00400EFC"/>
    <w:rsid w:val="00427646"/>
    <w:rsid w:val="004D7FFD"/>
    <w:rsid w:val="00550EA1"/>
    <w:rsid w:val="00556A80"/>
    <w:rsid w:val="005A6DC6"/>
    <w:rsid w:val="00600A68"/>
    <w:rsid w:val="00634B6D"/>
    <w:rsid w:val="006C4551"/>
    <w:rsid w:val="006C4A40"/>
    <w:rsid w:val="006E64F6"/>
    <w:rsid w:val="0071010B"/>
    <w:rsid w:val="0077223A"/>
    <w:rsid w:val="00772CBD"/>
    <w:rsid w:val="00810F6D"/>
    <w:rsid w:val="00852548"/>
    <w:rsid w:val="008A5CF6"/>
    <w:rsid w:val="008E4DA8"/>
    <w:rsid w:val="008F1FD4"/>
    <w:rsid w:val="00906EEB"/>
    <w:rsid w:val="00914B65"/>
    <w:rsid w:val="00922D5E"/>
    <w:rsid w:val="00930106"/>
    <w:rsid w:val="009314D5"/>
    <w:rsid w:val="009B3734"/>
    <w:rsid w:val="00A126EB"/>
    <w:rsid w:val="00A63892"/>
    <w:rsid w:val="00A7200D"/>
    <w:rsid w:val="00A75700"/>
    <w:rsid w:val="00AD6CB0"/>
    <w:rsid w:val="00AE14B9"/>
    <w:rsid w:val="00B02D44"/>
    <w:rsid w:val="00B070EC"/>
    <w:rsid w:val="00B82974"/>
    <w:rsid w:val="00C17027"/>
    <w:rsid w:val="00C211AE"/>
    <w:rsid w:val="00C223D8"/>
    <w:rsid w:val="00C25C81"/>
    <w:rsid w:val="00C31F89"/>
    <w:rsid w:val="00E85E30"/>
    <w:rsid w:val="00E97892"/>
    <w:rsid w:val="00F131E2"/>
    <w:rsid w:val="00F4314D"/>
    <w:rsid w:val="00F56FAD"/>
    <w:rsid w:val="00F6525E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E64F6"/>
    <w:rPr>
      <w:color w:val="954F72"/>
      <w:u w:val="single"/>
    </w:rPr>
  </w:style>
  <w:style w:type="paragraph" w:customStyle="1" w:styleId="xl67">
    <w:name w:val="xl67"/>
    <w:basedOn w:val="a"/>
    <w:rsid w:val="006E64F6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E64F6"/>
    <w:pPr>
      <w:shd w:val="clear" w:color="000000" w:fill="F2F2F2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E64F6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2">
    <w:name w:val="xl72"/>
    <w:basedOn w:val="a"/>
    <w:rsid w:val="006E64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5">
    <w:name w:val="xl75"/>
    <w:basedOn w:val="a"/>
    <w:rsid w:val="006E64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77">
    <w:name w:val="xl77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E64F6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E64F6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E64F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4">
    <w:name w:val="xl84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6">
    <w:name w:val="xl86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8">
    <w:name w:val="xl88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72C4"/>
      <w:sz w:val="18"/>
      <w:szCs w:val="18"/>
      <w:lang w:eastAsia="ru-RU"/>
    </w:rPr>
  </w:style>
  <w:style w:type="paragraph" w:customStyle="1" w:styleId="xl89">
    <w:name w:val="xl89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E6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E6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E64F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472C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stat.ru/indicator/40560" TargetMode="External"/><Relationship Id="rId1" Type="http://schemas.openxmlformats.org/officeDocument/2006/relationships/hyperlink" Target="https://www.fedstat.ru/indicator/4056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ownloads\data%20(2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62;&#1041;&#105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62;&#1041;&#105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62;&#1041;&#105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&#1040;&#1083;&#1100;&#1090;%20&#1080;&#1085;&#1074;&#1077;&#1089;&#1090;\&#1061;&#1052;&#1040;&#1054;\&#1041;&#1055;\&#1052;&#1086;&#1076;&#1077;&#1083;&#1100;%20&#1062;&#1041;&#105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Данные!$A$6:$B$6</c:f>
              <c:strCache>
                <c:ptCount val="2"/>
                <c:pt idx="0">
                  <c:v>Всего</c:v>
                </c:pt>
                <c:pt idx="1">
                  <c:v>тыс. кв.м.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Данные!$C$3:$F$3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Данные!$C$6:$F$6</c:f>
              <c:numCache>
                <c:formatCode>#,##0</c:formatCode>
                <c:ptCount val="4"/>
                <c:pt idx="0">
                  <c:v>1240.9000000000001</c:v>
                </c:pt>
                <c:pt idx="1">
                  <c:v>882.2</c:v>
                </c:pt>
                <c:pt idx="2">
                  <c:v>1371</c:v>
                </c:pt>
                <c:pt idx="3">
                  <c:v>1647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EE-4897-AAC7-B74D036F3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0198992"/>
        <c:axId val="1810200624"/>
      </c:barChart>
      <c:catAx>
        <c:axId val="181019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200624"/>
        <c:crosses val="autoZero"/>
        <c:auto val="1"/>
        <c:lblAlgn val="ctr"/>
        <c:lblOffset val="100"/>
        <c:noMultiLvlLbl val="0"/>
      </c:catAx>
      <c:valAx>
        <c:axId val="18102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9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-12000.000000000058</c:v>
                </c:pt>
                <c:pt idx="1">
                  <c:v>-24000</c:v>
                </c:pt>
                <c:pt idx="2">
                  <c:v>-37621.042190551409</c:v>
                </c:pt>
                <c:pt idx="3">
                  <c:v>-28185.068559611169</c:v>
                </c:pt>
                <c:pt idx="4">
                  <c:v>-16264.28025923709</c:v>
                </c:pt>
                <c:pt idx="5">
                  <c:v>-3971.4257848285961</c:v>
                </c:pt>
                <c:pt idx="6">
                  <c:v>8703.7584206598585</c:v>
                </c:pt>
                <c:pt idx="7">
                  <c:v>21771.795061142449</c:v>
                </c:pt>
                <c:pt idx="8">
                  <c:v>35110.136711801213</c:v>
                </c:pt>
                <c:pt idx="9">
                  <c:v>48864.280887399749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6EF-4C36-B758-114CB3E4F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810201168"/>
        <c:axId val="1810203344"/>
      </c:lineChart>
      <c:catAx>
        <c:axId val="181020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203344"/>
        <c:crosses val="autoZero"/>
        <c:auto val="1"/>
        <c:lblAlgn val="ctr"/>
        <c:lblOffset val="100"/>
        <c:noMultiLvlLbl val="0"/>
      </c:catAx>
      <c:valAx>
        <c:axId val="181020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20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-12000.000000000058</c:v>
                </c:pt>
                <c:pt idx="1">
                  <c:v>-22434.782608695663</c:v>
                </c:pt>
                <c:pt idx="2">
                  <c:v>-32734.247403063458</c:v>
                </c:pt>
                <c:pt idx="3">
                  <c:v>-26529.941571920044</c:v>
                </c:pt>
                <c:pt idx="4">
                  <c:v>-19714.192171153707</c:v>
                </c:pt>
                <c:pt idx="5">
                  <c:v>-13602.470916070317</c:v>
                </c:pt>
                <c:pt idx="6">
                  <c:v>-8122.6390007753616</c:v>
                </c:pt>
                <c:pt idx="7">
                  <c:v>-3209.8799885458211</c:v>
                </c:pt>
                <c:pt idx="8">
                  <c:v>1150.4475572207475</c:v>
                </c:pt>
                <c:pt idx="9">
                  <c:v>5060.2337561243075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CA2-4C5B-8413-BF088C0B0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810202800"/>
        <c:axId val="1810203888"/>
      </c:lineChart>
      <c:catAx>
        <c:axId val="181020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203888"/>
        <c:crosses val="autoZero"/>
        <c:auto val="1"/>
        <c:lblAlgn val="ctr"/>
        <c:lblOffset val="100"/>
        <c:noMultiLvlLbl val="0"/>
      </c:catAx>
      <c:valAx>
        <c:axId val="181020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20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Лист1!$D$125:$M$125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-450</c:v>
                </c:pt>
                <c:pt idx="1">
                  <c:v>-450</c:v>
                </c:pt>
                <c:pt idx="2">
                  <c:v>-600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A9-4BDF-A06E-2F6D19942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810196816"/>
        <c:axId val="1810197360"/>
      </c:barChart>
      <c:catAx>
        <c:axId val="181019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97360"/>
        <c:crosses val="autoZero"/>
        <c:auto val="1"/>
        <c:lblAlgn val="ctr"/>
        <c:lblOffset val="100"/>
        <c:noMultiLvlLbl val="0"/>
      </c:catAx>
      <c:valAx>
        <c:axId val="181019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9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>
                <a:alpha val="52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Лист1!$D$109:$M$109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168.7296</c:v>
                </c:pt>
                <c:pt idx="3">
                  <c:v>350.95756800000004</c:v>
                </c:pt>
                <c:pt idx="4">
                  <c:v>364.99587072000008</c:v>
                </c:pt>
                <c:pt idx="5">
                  <c:v>379.59570554880008</c:v>
                </c:pt>
                <c:pt idx="6">
                  <c:v>394.77953377075215</c:v>
                </c:pt>
                <c:pt idx="7">
                  <c:v>410.57071512158223</c:v>
                </c:pt>
                <c:pt idx="8">
                  <c:v>426.99354372644558</c:v>
                </c:pt>
                <c:pt idx="9">
                  <c:v>444.07328547550338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9-49BA-9DFE-1B495AB2B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810197904"/>
        <c:axId val="1811636128"/>
      </c:barChart>
      <c:catAx>
        <c:axId val="181019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1636128"/>
        <c:crosses val="autoZero"/>
        <c:auto val="1"/>
        <c:lblAlgn val="ctr"/>
        <c:lblOffset val="100"/>
        <c:noMultiLvlLbl val="0"/>
      </c:catAx>
      <c:valAx>
        <c:axId val="181163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9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F485-785F-4E35-BCC9-D93FE27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user</cp:lastModifiedBy>
  <cp:revision>2</cp:revision>
  <dcterms:created xsi:type="dcterms:W3CDTF">2021-12-05T19:06:00Z</dcterms:created>
  <dcterms:modified xsi:type="dcterms:W3CDTF">2021-12-05T19:06:00Z</dcterms:modified>
</cp:coreProperties>
</file>