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both"/>
      </w:pPr>
      <w:bookmarkStart w:id="0" w:name="_GoBack"/>
      <w:bookmarkEnd w:id="0"/>
    </w:p>
    <w:p>
      <w:pPr>
        <w:pStyle w:val="605"/>
        <w:jc w:val="center"/>
      </w:pPr>
      <w:r>
        <w:t xml:space="preserve">СПРАВКА</w:t>
      </w:r>
    </w:p>
    <w:p>
      <w:pPr>
        <w:pStyle w:val="605"/>
        <w:jc w:val="center"/>
      </w:pPr>
      <w:r>
        <w:t xml:space="preserve">о просроченной задолженности по субсидиям,</w:t>
      </w:r>
    </w:p>
    <w:p>
      <w:pPr>
        <w:pStyle w:val="605"/>
        <w:jc w:val="center"/>
      </w:pPr>
      <w:r>
        <w:t xml:space="preserve">бюджетным инвестициям и иным средствам, предоставленным</w:t>
      </w:r>
    </w:p>
    <w:p>
      <w:pPr>
        <w:pStyle w:val="605"/>
        <w:jc w:val="center"/>
      </w:pPr>
      <w:r>
        <w:t xml:space="preserve">из бюджета Ханты-Мансийского автономного округа - Югры &lt;1&gt;</w:t>
      </w:r>
    </w:p>
    <w:p>
      <w:pPr>
        <w:pStyle w:val="605"/>
        <w:jc w:val="center"/>
      </w:pPr>
      <w:r>
        <w:t xml:space="preserve">на "_</w:t>
      </w:r>
      <w:r>
        <w:t xml:space="preserve">__</w:t>
      </w:r>
      <w:r>
        <w:t xml:space="preserve">_"</w:t>
      </w:r>
      <w:r>
        <w:t xml:space="preserve">__</w:t>
      </w:r>
      <w:r>
        <w:t xml:space="preserve"> _________ 20___ г.</w:t>
      </w:r>
    </w:p>
    <w:p>
      <w:pPr>
        <w:pStyle w:val="603"/>
        <w:jc w:val="both"/>
      </w:pPr>
    </w:p>
    <w:p>
      <w:pPr>
        <w:pStyle w:val="604"/>
        <w:suppressLineNumbers w:val="0"/>
        <w:contextualSpacing w:val="0"/>
        <w:jc w:val="both"/>
        <w:rPr>
          <w:b w:val="0"/>
          <w:bCs w:val="0"/>
          <w:u w:val="none"/>
        </w:rPr>
      </w:pPr>
      <w:r>
        <w:t xml:space="preserve">Наименование Получателя </w:t>
      </w:r>
      <w:r>
        <w:rPr>
          <w:b w:val="0"/>
          <w:bCs w:val="0"/>
          <w:u w:val="none"/>
        </w:rPr>
        <w:t xml:space="preserve">____________________________________________</w:t>
      </w:r>
      <w:r>
        <w:rPr>
          <w:b w:val="0"/>
          <w:bCs w:val="0"/>
          <w:u w:val="none"/>
        </w:rPr>
      </w:r>
    </w:p>
    <w:p>
      <w:pPr>
        <w:pStyle w:val="603"/>
        <w:jc w:val="both"/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567"/>
        <w:gridCol w:w="708"/>
        <w:gridCol w:w="2127"/>
        <w:gridCol w:w="708"/>
        <w:gridCol w:w="709"/>
        <w:gridCol w:w="709"/>
        <w:gridCol w:w="710"/>
        <w:gridCol w:w="964"/>
        <w:gridCol w:w="571"/>
        <w:gridCol w:w="755"/>
        <w:gridCol w:w="903"/>
        <w:gridCol w:w="916"/>
        <w:gridCol w:w="851"/>
      </w:tblGrid>
      <w:tr>
        <w:trPr/>
        <w:tc>
          <w:tcPr>
            <w:tcW w:w="1768" w:type="dxa"/>
            <w:vMerge w:val="restart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Наименование средств, предоставленных из бюджета Ханты-Мансийского автономного округа - Югры</w:t>
            </w:r>
          </w:p>
        </w:tc>
        <w:tc>
          <w:tcPr>
            <w:tcW w:w="4962" w:type="dxa"/>
            <w:gridSpan w:val="4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Нормативный правовой акт Российской Федерации и Ханты-Мансийского автономного округа - Югры, в соответствии с которым Получателю предоставлены средства из бюджета Ханты-Мансийского автономного округа - Югры</w:t>
            </w:r>
          </w:p>
        </w:tc>
        <w:tc>
          <w:tcPr>
            <w:tcW w:w="3800" w:type="dxa"/>
            <w:gridSpan w:val="5"/>
            <w:noWrap w:val="false"/>
            <w:textDirection w:val="lrTb"/>
          </w:tcPr>
          <w:p>
            <w:pPr>
              <w:pStyle w:val="603"/>
              <w:ind w:left="-62" w:right="-89"/>
              <w:jc w:val="center"/>
            </w:pPr>
            <w:r>
              <w:t xml:space="preserve">Соглашение (договор), заключенный между главным распорядителем средств бюджета Ханты-Мансийского автономного округа - Югры и Получателем на предоставление средств из бюджета Ханты-Мансийского автономного округа - Югры</w:t>
            </w:r>
          </w:p>
        </w:tc>
        <w:tc>
          <w:tcPr>
            <w:tcW w:w="3996" w:type="dxa"/>
            <w:gridSpan w:val="5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>
        <w:trPr/>
        <w:tc>
          <w:tcPr>
            <w:tcW w:w="1768" w:type="dxa"/>
            <w:vMerge w:val="continue"/>
            <w:noWrap w:val="false"/>
            <w:textDirection w:val="lrTb"/>
          </w:tcPr>
          <w:p/>
        </w:tc>
        <w:tc>
          <w:tcPr>
            <w:tcW w:w="1560" w:type="dxa"/>
            <w:vMerge w:val="restart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вид</w:t>
            </w:r>
          </w:p>
        </w:tc>
        <w:tc>
          <w:tcPr>
            <w:tcW w:w="567" w:type="dxa"/>
            <w:vMerge w:val="restart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дата</w:t>
            </w:r>
          </w:p>
        </w:tc>
        <w:tc>
          <w:tcPr>
            <w:tcW w:w="708" w:type="dxa"/>
            <w:vMerge w:val="restart"/>
            <w:noWrap w:val="false"/>
            <w:textDirection w:val="lrTb"/>
          </w:tcPr>
          <w:p>
            <w:pPr>
              <w:pStyle w:val="603"/>
              <w:ind w:left="-62" w:right="-62"/>
              <w:jc w:val="center"/>
            </w:pPr>
            <w:r>
              <w:t xml:space="preserve">номер</w:t>
            </w:r>
          </w:p>
        </w:tc>
        <w:tc>
          <w:tcPr>
            <w:tcW w:w="2127" w:type="dxa"/>
            <w:vMerge w:val="restart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цели предоставления</w:t>
            </w:r>
          </w:p>
        </w:tc>
        <w:tc>
          <w:tcPr>
            <w:tcW w:w="708" w:type="dxa"/>
            <w:vMerge w:val="restart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дата</w:t>
            </w:r>
          </w:p>
        </w:tc>
        <w:tc>
          <w:tcPr>
            <w:tcW w:w="709" w:type="dxa"/>
            <w:vMerge w:val="restart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номер</w:t>
            </w:r>
          </w:p>
        </w:tc>
        <w:tc>
          <w:tcPr>
            <w:tcW w:w="709" w:type="dxa"/>
            <w:vMerge w:val="restart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сумма, тыс. руб.</w:t>
            </w:r>
          </w:p>
        </w:tc>
        <w:tc>
          <w:tcPr>
            <w:tcW w:w="1674" w:type="dxa"/>
            <w:gridSpan w:val="2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из них имеется задолженность</w:t>
            </w:r>
          </w:p>
        </w:tc>
        <w:tc>
          <w:tcPr>
            <w:tcW w:w="571" w:type="dxa"/>
            <w:vMerge w:val="restart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дата</w:t>
            </w:r>
          </w:p>
        </w:tc>
        <w:tc>
          <w:tcPr>
            <w:tcW w:w="755" w:type="dxa"/>
            <w:vMerge w:val="restart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номер</w:t>
            </w:r>
          </w:p>
        </w:tc>
        <w:tc>
          <w:tcPr>
            <w:tcW w:w="903" w:type="dxa"/>
            <w:vMerge w:val="restart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сумма, тыс. руб.</w:t>
            </w:r>
          </w:p>
        </w:tc>
        <w:tc>
          <w:tcPr>
            <w:tcW w:w="1767" w:type="dxa"/>
            <w:gridSpan w:val="2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из них имеется задолженность</w:t>
            </w:r>
          </w:p>
        </w:tc>
      </w:tr>
      <w:tr>
        <w:trPr/>
        <w:tc>
          <w:tcPr>
            <w:tcW w:w="1768" w:type="dxa"/>
            <w:vMerge w:val="continue"/>
            <w:noWrap w:val="false"/>
            <w:textDirection w:val="lrTb"/>
          </w:tcPr>
          <w:p/>
        </w:tc>
        <w:tc>
          <w:tcPr>
            <w:tcW w:w="1560" w:type="dxa"/>
            <w:vMerge w:val="continue"/>
            <w:noWrap w:val="false"/>
            <w:textDirection w:val="lrTb"/>
          </w:tcPr>
          <w:p/>
        </w:tc>
        <w:tc>
          <w:tcPr>
            <w:tcW w:w="567" w:type="dxa"/>
            <w:vMerge w:val="continue"/>
            <w:noWrap w:val="false"/>
            <w:textDirection w:val="lrTb"/>
          </w:tcPr>
          <w:p/>
        </w:tc>
        <w:tc>
          <w:tcPr>
            <w:tcW w:w="708" w:type="dxa"/>
            <w:vMerge w:val="continue"/>
            <w:noWrap w:val="false"/>
            <w:textDirection w:val="lrTb"/>
          </w:tcPr>
          <w:p/>
        </w:tc>
        <w:tc>
          <w:tcPr>
            <w:tcW w:w="2127" w:type="dxa"/>
            <w:vMerge w:val="continue"/>
            <w:noWrap w:val="false"/>
            <w:textDirection w:val="lrTb"/>
          </w:tcPr>
          <w:p/>
        </w:tc>
        <w:tc>
          <w:tcPr>
            <w:tcW w:w="708" w:type="dxa"/>
            <w:vMerge w:val="continue"/>
            <w:noWrap w:val="false"/>
            <w:textDirection w:val="lrTb"/>
          </w:tcPr>
          <w:p/>
        </w:tc>
        <w:tc>
          <w:tcPr>
            <w:tcW w:w="709" w:type="dxa"/>
            <w:vMerge w:val="continue"/>
            <w:noWrap w:val="false"/>
            <w:textDirection w:val="lrTb"/>
          </w:tcPr>
          <w:p/>
        </w:tc>
        <w:tc>
          <w:tcPr>
            <w:tcW w:w="709" w:type="dxa"/>
            <w:vMerge w:val="continue"/>
            <w:noWrap w:val="false"/>
            <w:textDirection w:val="lrTb"/>
          </w:tcPr>
          <w:p/>
        </w:tc>
        <w:tc>
          <w:tcPr>
            <w:tcW w:w="710" w:type="dxa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всего</w:t>
            </w:r>
          </w:p>
        </w:tc>
        <w:tc>
          <w:tcPr>
            <w:tcW w:w="964" w:type="dxa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в том числе просроченная</w:t>
            </w:r>
          </w:p>
        </w:tc>
        <w:tc>
          <w:tcPr>
            <w:tcW w:w="571" w:type="dxa"/>
            <w:vMerge w:val="continue"/>
            <w:noWrap w:val="false"/>
            <w:textDirection w:val="lrTb"/>
          </w:tcPr>
          <w:p/>
        </w:tc>
        <w:tc>
          <w:tcPr>
            <w:tcW w:w="755" w:type="dxa"/>
            <w:vMerge w:val="continue"/>
            <w:noWrap w:val="false"/>
            <w:textDirection w:val="lrTb"/>
          </w:tcPr>
          <w:p/>
        </w:tc>
        <w:tc>
          <w:tcPr>
            <w:tcW w:w="903" w:type="dxa"/>
            <w:vMerge w:val="continue"/>
            <w:noWrap w:val="false"/>
            <w:textDirection w:val="lrTb"/>
          </w:tcPr>
          <w:p/>
        </w:tc>
        <w:tc>
          <w:tcPr>
            <w:tcW w:w="916" w:type="dxa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всего</w:t>
            </w:r>
          </w:p>
        </w:tc>
        <w:tc>
          <w:tcPr>
            <w:tcW w:w="851" w:type="dxa"/>
            <w:noWrap w:val="false"/>
            <w:textDirection w:val="lrTb"/>
          </w:tcPr>
          <w:p>
            <w:pPr>
              <w:pStyle w:val="603"/>
              <w:jc w:val="center"/>
            </w:pPr>
            <w:r>
              <w:t xml:space="preserve">в том числе просроченная</w:t>
            </w:r>
          </w:p>
        </w:tc>
      </w:tr>
      <w:tr>
        <w:trPr>
          <w:trHeight w:val="376"/>
        </w:trPr>
        <w:tc>
          <w:tcPr>
            <w:tcW w:w="1768" w:type="dxa"/>
            <w:noWrap w:val="false"/>
            <w:textDirection w:val="lrTb"/>
          </w:tcPr>
          <w:p>
            <w:pPr>
              <w:pStyle w:val="60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1560" w:type="dxa"/>
            <w:noWrap w:val="false"/>
            <w:textDirection w:val="lrTb"/>
          </w:tcPr>
          <w:p>
            <w:pPr>
              <w:pStyle w:val="603"/>
              <w:ind w:left="-62" w:right="-62"/>
              <w:jc w:val="center"/>
            </w:pPr>
          </w:p>
        </w:tc>
        <w:tc>
          <w:tcPr>
            <w:tcW w:w="567" w:type="dxa"/>
            <w:noWrap w:val="false"/>
            <w:textDirection w:val="lrTb"/>
          </w:tcPr>
          <w:p>
            <w:pPr>
              <w:pStyle w:val="603"/>
              <w:ind w:left="-62" w:right="-62"/>
              <w:jc w:val="center"/>
            </w:pPr>
          </w:p>
        </w:tc>
        <w:tc>
          <w:tcPr>
            <w:tcW w:w="708" w:type="dxa"/>
            <w:noWrap w:val="false"/>
            <w:textDirection w:val="lrTb"/>
          </w:tcPr>
          <w:p>
            <w:pPr>
              <w:pStyle w:val="603"/>
              <w:jc w:val="center"/>
            </w:pPr>
          </w:p>
        </w:tc>
        <w:tc>
          <w:tcPr>
            <w:tcW w:w="2127" w:type="dxa"/>
            <w:noWrap w:val="false"/>
            <w:textDirection w:val="lrTb"/>
          </w:tcPr>
          <w:p>
            <w:pPr>
              <w:pStyle w:val="603"/>
              <w:jc w:val="center"/>
            </w:pPr>
          </w:p>
        </w:tc>
        <w:tc>
          <w:tcPr>
            <w:tcW w:w="708" w:type="dxa"/>
            <w:noWrap w:val="false"/>
            <w:textDirection w:val="lrTb"/>
          </w:tcPr>
          <w:p>
            <w:pPr>
              <w:pStyle w:val="603"/>
              <w:jc w:val="center"/>
            </w:pPr>
          </w:p>
        </w:tc>
        <w:tc>
          <w:tcPr>
            <w:tcW w:w="709" w:type="dxa"/>
            <w:noWrap w:val="false"/>
            <w:textDirection w:val="lrTb"/>
          </w:tcPr>
          <w:p>
            <w:pPr>
              <w:pStyle w:val="603"/>
              <w:jc w:val="center"/>
            </w:pPr>
          </w:p>
        </w:tc>
        <w:tc>
          <w:tcPr>
            <w:tcW w:w="709" w:type="dxa"/>
            <w:noWrap w:val="false"/>
            <w:textDirection w:val="lrTb"/>
          </w:tcPr>
          <w:p>
            <w:pPr>
              <w:pStyle w:val="603"/>
              <w:jc w:val="center"/>
            </w:pPr>
          </w:p>
        </w:tc>
        <w:tc>
          <w:tcPr>
            <w:tcW w:w="710" w:type="dxa"/>
            <w:noWrap w:val="false"/>
            <w:textDirection w:val="lrTb"/>
          </w:tcPr>
          <w:p>
            <w:pPr>
              <w:pStyle w:val="603"/>
              <w:jc w:val="center"/>
            </w:pPr>
          </w:p>
        </w:tc>
        <w:tc>
          <w:tcPr>
            <w:tcW w:w="964" w:type="dxa"/>
            <w:noWrap w:val="false"/>
            <w:textDirection w:val="lrTb"/>
          </w:tcPr>
          <w:p>
            <w:pPr>
              <w:pStyle w:val="603"/>
              <w:jc w:val="center"/>
            </w:pPr>
          </w:p>
        </w:tc>
        <w:tc>
          <w:tcPr>
            <w:tcW w:w="571" w:type="dxa"/>
            <w:noWrap w:val="false"/>
            <w:textDirection w:val="lrTb"/>
          </w:tcPr>
          <w:p>
            <w:pPr>
              <w:pStyle w:val="603"/>
              <w:jc w:val="center"/>
            </w:pPr>
          </w:p>
        </w:tc>
        <w:tc>
          <w:tcPr>
            <w:tcW w:w="755" w:type="dxa"/>
            <w:noWrap w:val="false"/>
            <w:textDirection w:val="lrTb"/>
          </w:tcPr>
          <w:p>
            <w:pPr>
              <w:pStyle w:val="603"/>
              <w:jc w:val="center"/>
            </w:pPr>
          </w:p>
        </w:tc>
        <w:tc>
          <w:tcPr>
            <w:tcW w:w="903" w:type="dxa"/>
            <w:noWrap w:val="false"/>
            <w:textDirection w:val="lrTb"/>
          </w:tcPr>
          <w:p>
            <w:pPr>
              <w:pStyle w:val="603"/>
              <w:jc w:val="center"/>
            </w:pPr>
          </w:p>
        </w:tc>
        <w:tc>
          <w:tcPr>
            <w:tcW w:w="916" w:type="dxa"/>
            <w:noWrap w:val="false"/>
            <w:textDirection w:val="lrTb"/>
          </w:tcPr>
          <w:p>
            <w:pPr>
              <w:pStyle w:val="603"/>
              <w:jc w:val="center"/>
            </w:pPr>
          </w:p>
        </w:tc>
        <w:tc>
          <w:tcPr>
            <w:tcW w:w="851" w:type="dxa"/>
            <w:noWrap w:val="false"/>
            <w:textDirection w:val="lrTb"/>
          </w:tcPr>
          <w:p>
            <w:pPr>
              <w:pStyle w:val="603"/>
              <w:jc w:val="center"/>
            </w:pPr>
          </w:p>
        </w:tc>
      </w:tr>
    </w:tbl>
    <w:p>
      <w:pPr>
        <w:pStyle w:val="603"/>
        <w:jc w:val="both"/>
      </w:pPr>
    </w:p>
    <w:p>
      <w:pPr>
        <w:pStyle w:val="604"/>
        <w:jc w:val="both"/>
      </w:pPr>
      <w:r>
        <w:t xml:space="preserve">    Руководитель Получателя</w:t>
      </w:r>
    </w:p>
    <w:p>
      <w:pPr>
        <w:pStyle w:val="604"/>
        <w:jc w:val="both"/>
      </w:pPr>
      <w:r>
        <w:t xml:space="preserve">    (уполномоченное лицо) _______________ _________  _____________________</w:t>
      </w:r>
    </w:p>
    <w:p>
      <w:pPr>
        <w:pStyle w:val="604"/>
        <w:jc w:val="both"/>
      </w:pPr>
      <w:r>
        <w:t xml:space="preserve">                            (должность)    (подпись) (расшифровка подписи)</w:t>
      </w:r>
    </w:p>
    <w:p>
      <w:pPr>
        <w:pStyle w:val="604"/>
        <w:jc w:val="both"/>
      </w:pPr>
      <w:r>
        <w:t xml:space="preserve">    Исполнитель ________________ ___________________________ _____________</w:t>
      </w:r>
    </w:p>
    <w:p>
      <w:pPr>
        <w:pStyle w:val="604"/>
        <w:jc w:val="both"/>
      </w:pPr>
      <w:r>
        <w:t xml:space="preserve">                   (должность)      (фамилия, имя, отчество)   (телефон)</w:t>
      </w:r>
    </w:p>
    <w:p>
      <w:pPr>
        <w:pStyle w:val="604"/>
        <w:jc w:val="both"/>
        <w:rPr>
          <w:highlight w:val="none"/>
        </w:rPr>
      </w:pPr>
      <w:r>
        <w:t xml:space="preserve">    "__" ___________ 20__ г.</w:t>
      </w:r>
    </w:p>
    <w:p>
      <w:pPr>
        <w:pStyle w:val="604"/>
        <w:jc w:val="both"/>
      </w:pPr>
    </w:p>
    <w:p>
      <w:pPr>
        <w:pStyle w:val="603"/>
        <w:spacing w:before="220"/>
        <w:ind w:firstLine="540"/>
        <w:jc w:val="both"/>
      </w:pPr>
      <w:r>
        <w:t xml:space="preserve">&lt;1&gt; В случае если</w:t>
      </w:r>
      <w:r>
        <w:rPr>
          <w:color w:val="000000" w:themeColor="text1"/>
        </w:rPr>
        <w:t xml:space="preserve"> </w:t>
      </w:r>
      <w:hyperlink r:id="rId8" w:tooltip="consultantplus://offline/ref=EFBC325497AA0048BAF46E17AAA613B385A3F221EE68E201D6521A4CE6608E138AF767786DB39DB9DB3093D830C835EFE9D8B88EC679885C8D79D6543BI3H" w:history="1">
        <w:r>
          <w:rPr>
            <w:color w:val="000000" w:themeColor="text1"/>
          </w:rPr>
          <w:t xml:space="preserve">соглашение</w:t>
        </w:r>
      </w:hyperlink>
      <w:r>
        <w:t xml:space="preserve"> содержит сведения, составляющие государственную и иную охраняемую в соответствии с федеральн</w:t>
      </w:r>
      <w:r>
        <w:t xml:space="preserve">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>
      <w:pPr>
        <w:pStyle w:val="604"/>
        <w:jc w:val="both"/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6838" w:h="11906" w:orient="landscape"/>
      <w:pgMar w:top="426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ind w:left="720"/>
      <w:contextualSpacing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67a4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5b9bd5" w:themeFill="accent1"/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472c4" w:themeFill="accent5"/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5b9bd5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5b9bd5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8eabdb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spacing w:after="57"/>
      <w:ind w:left="0" w:right="0" w:firstLine="0"/>
    </w:pPr>
  </w:style>
  <w:style w:type="paragraph" w:styleId="182">
    <w:name w:val="toc 2"/>
    <w:basedOn w:val="599"/>
    <w:next w:val="599"/>
    <w:uiPriority w:val="39"/>
    <w:unhideWhenUsed/>
    <w:pPr>
      <w:spacing w:after="57"/>
      <w:ind w:left="283" w:right="0" w:firstLine="0"/>
    </w:pPr>
  </w:style>
  <w:style w:type="paragraph" w:styleId="183">
    <w:name w:val="toc 3"/>
    <w:basedOn w:val="599"/>
    <w:next w:val="599"/>
    <w:uiPriority w:val="39"/>
    <w:unhideWhenUsed/>
    <w:pPr>
      <w:spacing w:after="57"/>
      <w:ind w:left="567" w:right="0" w:firstLine="0"/>
    </w:pPr>
  </w:style>
  <w:style w:type="paragraph" w:styleId="184">
    <w:name w:val="toc 4"/>
    <w:basedOn w:val="599"/>
    <w:next w:val="599"/>
    <w:uiPriority w:val="39"/>
    <w:unhideWhenUsed/>
    <w:pPr>
      <w:spacing w:after="57"/>
      <w:ind w:left="850" w:right="0" w:firstLine="0"/>
    </w:pPr>
  </w:style>
  <w:style w:type="paragraph" w:styleId="185">
    <w:name w:val="toc 5"/>
    <w:basedOn w:val="599"/>
    <w:next w:val="599"/>
    <w:uiPriority w:val="39"/>
    <w:unhideWhenUsed/>
    <w:pPr>
      <w:spacing w:after="57"/>
      <w:ind w:left="1134" w:right="0" w:firstLine="0"/>
    </w:pPr>
  </w:style>
  <w:style w:type="paragraph" w:styleId="186">
    <w:name w:val="toc 6"/>
    <w:basedOn w:val="599"/>
    <w:next w:val="599"/>
    <w:uiPriority w:val="39"/>
    <w:unhideWhenUsed/>
    <w:pPr>
      <w:spacing w:after="57"/>
      <w:ind w:left="1417" w:right="0" w:firstLine="0"/>
    </w:pPr>
  </w:style>
  <w:style w:type="paragraph" w:styleId="187">
    <w:name w:val="toc 7"/>
    <w:basedOn w:val="599"/>
    <w:next w:val="599"/>
    <w:uiPriority w:val="39"/>
    <w:unhideWhenUsed/>
    <w:pPr>
      <w:spacing w:after="57"/>
      <w:ind w:left="1701" w:right="0" w:firstLine="0"/>
    </w:pPr>
  </w:style>
  <w:style w:type="paragraph" w:styleId="188">
    <w:name w:val="toc 8"/>
    <w:basedOn w:val="599"/>
    <w:next w:val="599"/>
    <w:uiPriority w:val="39"/>
    <w:unhideWhenUsed/>
    <w:pPr>
      <w:spacing w:after="57"/>
      <w:ind w:left="1984" w:right="0" w:firstLine="0"/>
    </w:pPr>
  </w:style>
  <w:style w:type="paragraph" w:styleId="189">
    <w:name w:val="toc 9"/>
    <w:basedOn w:val="599"/>
    <w:next w:val="599"/>
    <w:uiPriority w:val="39"/>
    <w:unhideWhenUsed/>
    <w:pPr>
      <w:spacing w:after="57"/>
      <w:ind w:left="2268" w:right="0" w:firstLine="0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 w:customStyle="1">
    <w:name w:val="ConsPlusNormal"/>
    <w:pPr>
      <w:widowControl w:val="off"/>
      <w:spacing w:after="0" w:line="240" w:lineRule="auto"/>
    </w:pPr>
    <w:rPr>
      <w:rFonts w:ascii="Calibri" w:hAnsi="Calibri" w:eastAsia="Times New Roman" w:cs="Calibri"/>
      <w:szCs w:val="20"/>
      <w:lang w:eastAsia="ru-RU"/>
    </w:rPr>
  </w:style>
  <w:style w:type="paragraph" w:styleId="604" w:customStyle="1">
    <w:name w:val="ConsPlusNonformat"/>
    <w:pPr>
      <w:widowControl w:val="off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05" w:customStyle="1">
    <w:name w:val="ConsPlusTitle"/>
    <w:pPr>
      <w:widowControl w:val="off"/>
      <w:spacing w:after="0" w:line="240" w:lineRule="auto"/>
    </w:pPr>
    <w:rPr>
      <w:rFonts w:ascii="Calibri" w:hAnsi="Calibri" w:eastAsia="Times New Roman" w:cs="Calibri"/>
      <w:b/>
      <w:szCs w:val="20"/>
      <w:lang w:eastAsia="ru-RU"/>
    </w:rPr>
  </w:style>
  <w:style w:type="paragraph" w:styleId="606">
    <w:name w:val="Balloon Text"/>
    <w:basedOn w:val="599"/>
    <w:link w:val="60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7" w:customStyle="1">
    <w:name w:val="Текст выноски Знак"/>
    <w:basedOn w:val="600"/>
    <w:link w:val="60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EFBC325497AA0048BAF46E17AAA613B385A3F221EE68E201D6521A4CE6608E138AF767786DB39DB9DB3093D830C835EFE9D8B88EC679885C8D79D6543BI3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Наталья Вячеславовна</dc:creator>
  <cp:revision>6</cp:revision>
  <dcterms:created xsi:type="dcterms:W3CDTF">2020-04-09T10:01:00Z</dcterms:created>
  <dcterms:modified xsi:type="dcterms:W3CDTF">2023-05-02T06:10:51Z</dcterms:modified>
</cp:coreProperties>
</file>