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F5" w:rsidRDefault="00934EF5" w:rsidP="00934E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934EF5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 w:rsidRPr="00934EF5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контроля за</w:t>
      </w:r>
      <w:proofErr w:type="gramEnd"/>
      <w:r w:rsidRPr="00934EF5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соблюдением законодательства в области розничной продажи алкогольной продукции, спиртосодержащей продукции</w:t>
      </w:r>
    </w:p>
    <w:p w:rsidR="00934EF5" w:rsidRPr="00934EF5" w:rsidRDefault="00934EF5" w:rsidP="00934E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</w:p>
    <w:tbl>
      <w:tblPr>
        <w:tblW w:w="10314" w:type="dxa"/>
        <w:tblInd w:w="-843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11"/>
        <w:gridCol w:w="1905"/>
        <w:gridCol w:w="1662"/>
        <w:gridCol w:w="3511"/>
      </w:tblGrid>
      <w:tr w:rsidR="00934EF5" w:rsidRPr="00934EF5" w:rsidTr="00934EF5">
        <w:tc>
          <w:tcPr>
            <w:tcW w:w="42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Краткое описание круга лиц и (или) перечня объектов, </w:t>
            </w: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br/>
              <w:t>по контролю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Текст акта</w:t>
            </w:r>
          </w:p>
        </w:tc>
      </w:tr>
      <w:tr w:rsidR="00934EF5" w:rsidRPr="00934EF5" w:rsidTr="00934EF5">
        <w:tc>
          <w:tcPr>
            <w:tcW w:w="42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</w:p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от 26.12.2008 № 294-ФЗ </w:t>
            </w: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br/>
              <w:t>«О защите прав юридических лиц </w:t>
            </w: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br/>
              <w:t>и индивидуальных предпринимателей </w:t>
            </w: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br/>
              <w:t>при осуществлении государственного контроля (надзора) </w:t>
            </w: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br/>
              <w:t>и муниципального контроля»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Предметом проверки является:</w:t>
            </w:r>
          </w:p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предписаний и постановлений органов </w:t>
            </w: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контроля;</w:t>
            </w:r>
          </w:p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934EF5" w:rsidRPr="00934EF5" w:rsidTr="00934EF5">
        <w:tc>
          <w:tcPr>
            <w:tcW w:w="42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Ханты-Мансийского района </w:t>
            </w: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br/>
              <w:t>от 10.09.2013 № 222 </w:t>
            </w: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br/>
              <w:t>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 на межселенных территориях Ханты-Мансийского района»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Минимальное расстояние от детских, образовательных, медицинских организаций и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объектов военного назначения, до границ прилегающих территорий должно составлять:</w:t>
            </w:r>
          </w:p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при наличии обособленной территории - окружностью с радиусом 15 метров от границы обособленной территории;</w:t>
            </w:r>
          </w:p>
          <w:p w:rsidR="00934EF5" w:rsidRPr="00934EF5" w:rsidRDefault="00934EF5" w:rsidP="009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5">
              <w:rPr>
                <w:rFonts w:ascii="Times New Roman" w:eastAsia="Times New Roman" w:hAnsi="Times New Roman" w:cs="Times New Roman"/>
                <w:lang w:eastAsia="ru-RU"/>
              </w:rPr>
              <w:t>при отсутствии обособленной территории - окружностью с радиусом 19 метров от границы объекта (здания).</w:t>
            </w:r>
          </w:p>
        </w:tc>
      </w:tr>
    </w:tbl>
    <w:p w:rsidR="00C1520F" w:rsidRPr="00934EF5" w:rsidRDefault="00C1520F" w:rsidP="00934E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EF5" w:rsidRPr="00934EF5" w:rsidRDefault="00934EF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34EF5" w:rsidRPr="0093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F5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4EF5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Налобина</dc:creator>
  <cp:lastModifiedBy>Налобина</cp:lastModifiedBy>
  <cp:revision>1</cp:revision>
  <dcterms:created xsi:type="dcterms:W3CDTF">2019-02-08T11:59:00Z</dcterms:created>
  <dcterms:modified xsi:type="dcterms:W3CDTF">2019-02-08T12:00:00Z</dcterms:modified>
</cp:coreProperties>
</file>