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C5" w:rsidRDefault="00E235C5" w:rsidP="00E23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5C5" w:rsidRDefault="00E235C5" w:rsidP="00E235C5">
      <w:pPr>
        <w:jc w:val="center"/>
        <w:rPr>
          <w:sz w:val="28"/>
          <w:szCs w:val="28"/>
        </w:rPr>
      </w:pPr>
    </w:p>
    <w:p w:rsidR="00E235C5" w:rsidRPr="005A74A2" w:rsidRDefault="00E235C5" w:rsidP="00E235C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4BAD">
        <w:rPr>
          <w:rFonts w:ascii="Times New Roman" w:hAnsi="Times New Roman"/>
          <w:sz w:val="28"/>
          <w:szCs w:val="28"/>
        </w:rPr>
        <w:t>02.12.2020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5B4BAD">
        <w:rPr>
          <w:rFonts w:ascii="Times New Roman" w:hAnsi="Times New Roman"/>
          <w:sz w:val="28"/>
          <w:szCs w:val="28"/>
        </w:rPr>
        <w:t>319</w:t>
      </w:r>
    </w:p>
    <w:p w:rsidR="00E235C5" w:rsidRPr="00D8037B" w:rsidRDefault="00E235C5" w:rsidP="00E235C5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E235C5" w:rsidRDefault="00E235C5" w:rsidP="00E235C5">
      <w:pPr>
        <w:rPr>
          <w:sz w:val="28"/>
          <w:szCs w:val="28"/>
        </w:rPr>
      </w:pPr>
    </w:p>
    <w:p w:rsidR="00E235C5" w:rsidRPr="00111F5D" w:rsidRDefault="00E235C5" w:rsidP="00E235C5">
      <w:pPr>
        <w:rPr>
          <w:sz w:val="28"/>
          <w:szCs w:val="28"/>
        </w:rPr>
      </w:pPr>
    </w:p>
    <w:p w:rsidR="00011D72" w:rsidRPr="0093340E" w:rsidRDefault="00011D72" w:rsidP="00E235C5">
      <w:pPr>
        <w:tabs>
          <w:tab w:val="left" w:pos="5103"/>
        </w:tabs>
        <w:ind w:right="3967"/>
        <w:rPr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  <w:r w:rsidR="00E235C5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  <w:r w:rsidR="00E235C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Ханты-Мансийского района </w:t>
      </w:r>
      <w:r w:rsidR="00E235C5">
        <w:rPr>
          <w:bCs/>
          <w:sz w:val="28"/>
          <w:szCs w:val="28"/>
        </w:rPr>
        <w:br/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  <w:r w:rsidR="00E235C5">
        <w:rPr>
          <w:sz w:val="28"/>
          <w:szCs w:val="28"/>
        </w:rPr>
        <w:br/>
      </w: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  <w:r w:rsidR="00E235C5">
        <w:rPr>
          <w:sz w:val="28"/>
          <w:szCs w:val="28"/>
        </w:rPr>
        <w:br/>
      </w: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E235C5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E235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Default="007F7D19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</w:t>
      </w:r>
      <w:r w:rsidR="00E235C5">
        <w:rPr>
          <w:b w:val="0"/>
        </w:rPr>
        <w:t xml:space="preserve"> – </w:t>
      </w:r>
      <w:r w:rsidRPr="00986134">
        <w:rPr>
          <w:b w:val="0"/>
        </w:rPr>
        <w:t>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 w:rsidR="00E235C5">
        <w:rPr>
          <w:b w:val="0"/>
        </w:rPr>
        <w:t xml:space="preserve"> словами «на 2019 – </w:t>
      </w:r>
      <w:r>
        <w:rPr>
          <w:b w:val="0"/>
        </w:rPr>
        <w:t>2023 годы».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5B49D4" w:rsidRPr="00D61141" w:rsidRDefault="005B49D4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E235C5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</w:t>
            </w:r>
            <w:r w:rsidR="00E235C5">
              <w:rPr>
                <w:sz w:val="28"/>
                <w:szCs w:val="28"/>
              </w:rPr>
              <w:t xml:space="preserve"> Ханты-Мансийского района от 12.11.</w:t>
            </w:r>
            <w:r w:rsidRPr="00D61141">
              <w:rPr>
                <w:sz w:val="28"/>
                <w:szCs w:val="28"/>
              </w:rPr>
              <w:t xml:space="preserve">2018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  <w:r w:rsidR="000451C1">
              <w:rPr>
                <w:sz w:val="28"/>
                <w:szCs w:val="28"/>
              </w:rPr>
              <w:t xml:space="preserve"> (в редакции от 30.06.2020 № 162)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D61141">
              <w:rPr>
                <w:sz w:val="28"/>
                <w:szCs w:val="28"/>
              </w:rPr>
              <w:t>в</w:t>
            </w:r>
            <w:proofErr w:type="gramEnd"/>
            <w:r w:rsidRPr="00D61141">
              <w:rPr>
                <w:sz w:val="28"/>
                <w:szCs w:val="28"/>
              </w:rPr>
              <w:t xml:space="preserve"> </w:t>
            </w:r>
            <w:proofErr w:type="gramStart"/>
            <w:r w:rsidRPr="00D61141">
              <w:rPr>
                <w:sz w:val="28"/>
                <w:szCs w:val="28"/>
              </w:rPr>
              <w:t>Ханты-</w:t>
            </w:r>
            <w:r w:rsidRPr="00D61141">
              <w:rPr>
                <w:sz w:val="28"/>
                <w:szCs w:val="28"/>
              </w:rPr>
              <w:lastRenderedPageBreak/>
              <w:t>Мансийском</w:t>
            </w:r>
            <w:proofErr w:type="gramEnd"/>
            <w:r w:rsidRPr="00D61141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2A6033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="00452CA1"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677A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</w:t>
            </w:r>
            <w:r w:rsidRPr="00C3677A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3677A">
              <w:rPr>
                <w:sz w:val="28"/>
                <w:szCs w:val="28"/>
              </w:rPr>
              <w:br/>
              <w:t xml:space="preserve">с 22,5 кв. м до </w:t>
            </w:r>
            <w:r w:rsidR="00A52385" w:rsidRPr="00C3677A">
              <w:rPr>
                <w:sz w:val="28"/>
                <w:szCs w:val="28"/>
              </w:rPr>
              <w:t>24,</w:t>
            </w:r>
            <w:r w:rsidR="003D0A7C" w:rsidRPr="00C3677A">
              <w:rPr>
                <w:sz w:val="28"/>
                <w:szCs w:val="28"/>
              </w:rPr>
              <w:t>9</w:t>
            </w:r>
            <w:r w:rsidRPr="00C3677A">
              <w:rPr>
                <w:sz w:val="28"/>
                <w:szCs w:val="28"/>
              </w:rPr>
              <w:t xml:space="preserve"> кв. м;</w:t>
            </w:r>
          </w:p>
          <w:p w:rsidR="00011D72" w:rsidRPr="00C3677A" w:rsidRDefault="003D0A7C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C3677A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C3677A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C3677A" w:rsidRPr="00C3677A">
              <w:rPr>
                <w:rFonts w:eastAsia="Times New Roman"/>
                <w:sz w:val="28"/>
                <w:szCs w:val="28"/>
              </w:rPr>
              <w:t>3,5</w:t>
            </w:r>
            <w:r w:rsidR="00D70360"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="00011D72" w:rsidRPr="00C3677A">
              <w:rPr>
                <w:rFonts w:eastAsia="Times New Roman"/>
                <w:sz w:val="28"/>
                <w:szCs w:val="28"/>
              </w:rPr>
              <w:t>%</w:t>
            </w:r>
            <w:r w:rsidR="00DB4EAF" w:rsidRPr="00C3677A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DB4EAF" w:rsidRPr="00C3677A" w:rsidRDefault="00DB4EAF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3677A">
              <w:rPr>
                <w:rFonts w:eastAsia="Times New Roman"/>
                <w:sz w:val="28"/>
                <w:szCs w:val="28"/>
              </w:rPr>
              <w:t>аварийного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3677A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 xml:space="preserve">.кв.м. </w:t>
            </w:r>
            <w:r w:rsidR="00C33F07" w:rsidRPr="00C3677A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5</w:t>
            </w:r>
            <w:r w:rsidR="001707DD" w:rsidRPr="00C3677A">
              <w:rPr>
                <w:sz w:val="28"/>
                <w:szCs w:val="28"/>
              </w:rPr>
              <w:t xml:space="preserve">,0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>. кв</w:t>
            </w:r>
            <w:proofErr w:type="gramStart"/>
            <w:r w:rsidRPr="00C3677A">
              <w:rPr>
                <w:sz w:val="28"/>
                <w:szCs w:val="28"/>
              </w:rPr>
              <w:t>.м</w:t>
            </w:r>
            <w:proofErr w:type="gramEnd"/>
            <w:r w:rsidR="002B51DB" w:rsidRPr="00C3677A">
              <w:rPr>
                <w:sz w:val="28"/>
                <w:szCs w:val="28"/>
              </w:rPr>
              <w:t>;</w:t>
            </w:r>
          </w:p>
          <w:p w:rsidR="002B51DB" w:rsidRPr="001707DD" w:rsidRDefault="002B51DB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3677A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 xml:space="preserve">. </w:t>
            </w:r>
            <w:r w:rsidR="00E235C5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39</w:t>
            </w:r>
            <w:r w:rsidR="001707DD" w:rsidRPr="00C3677A">
              <w:rPr>
                <w:sz w:val="28"/>
                <w:szCs w:val="28"/>
              </w:rPr>
              <w:t>8</w:t>
            </w:r>
            <w:r w:rsidRPr="00C3677A">
              <w:rPr>
                <w:sz w:val="28"/>
                <w:szCs w:val="28"/>
              </w:rPr>
              <w:t xml:space="preserve">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031E30" w:rsidRDefault="00011D72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1E30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D302D">
              <w:rPr>
                <w:sz w:val="28"/>
                <w:szCs w:val="28"/>
              </w:rPr>
              <w:t>550 613,3</w:t>
            </w:r>
            <w:r w:rsidRPr="00031E30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031E30"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031E30">
              <w:rPr>
                <w:lang w:eastAsia="ru-RU"/>
              </w:rPr>
              <w:t xml:space="preserve"> </w:t>
            </w:r>
            <w:r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1E30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2021 год – </w:t>
            </w:r>
            <w:r w:rsidR="00AD302D">
              <w:rPr>
                <w:rStyle w:val="FontStyle28"/>
                <w:sz w:val="28"/>
                <w:szCs w:val="28"/>
              </w:rPr>
              <w:t>52 877,4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>;</w:t>
            </w:r>
          </w:p>
          <w:p w:rsidR="007F2299" w:rsidRPr="00031E30" w:rsidRDefault="00321816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>
              <w:rPr>
                <w:rStyle w:val="FontStyle28"/>
                <w:sz w:val="28"/>
                <w:szCs w:val="28"/>
              </w:rPr>
              <w:t>54 536,2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031E30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7F2299" w:rsidP="00E235C5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2023 год </w:t>
            </w:r>
            <w:r w:rsidRPr="00954AC8">
              <w:rPr>
                <w:rStyle w:val="FontStyle28"/>
                <w:sz w:val="28"/>
                <w:szCs w:val="28"/>
              </w:rPr>
              <w:t xml:space="preserve">– </w:t>
            </w:r>
            <w:r w:rsidR="00AD302D">
              <w:rPr>
                <w:rStyle w:val="FontStyle28"/>
                <w:sz w:val="28"/>
                <w:szCs w:val="28"/>
              </w:rPr>
              <w:t>30 377,4</w:t>
            </w:r>
            <w:r w:rsidR="00031E30" w:rsidRPr="00031E30">
              <w:rPr>
                <w:rStyle w:val="FontStyle28"/>
                <w:sz w:val="28"/>
                <w:szCs w:val="28"/>
              </w:rPr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E235C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11D72" w:rsidRDefault="00011D72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Pr="00D61141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82EF2" w:rsidRPr="00286121" w:rsidRDefault="00B82EF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366802" w:rsidRPr="00286121" w:rsidRDefault="0036680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со Стратегией социально-экономического развития Ханты-Мансийского района до 2030 года</w:t>
      </w:r>
      <w:r w:rsidR="006B6818" w:rsidRPr="00286121">
        <w:rPr>
          <w:rFonts w:ascii="Times New Roman" w:hAnsi="Times New Roman"/>
          <w:sz w:val="28"/>
          <w:szCs w:val="28"/>
        </w:rPr>
        <w:t xml:space="preserve">, </w:t>
      </w:r>
      <w:r w:rsidR="001A53F5" w:rsidRPr="00286121">
        <w:rPr>
          <w:rFonts w:ascii="Times New Roman" w:hAnsi="Times New Roman"/>
          <w:sz w:val="28"/>
          <w:szCs w:val="28"/>
        </w:rPr>
        <w:t>согласно</w:t>
      </w:r>
      <w:r w:rsidR="006B6818" w:rsidRPr="00286121">
        <w:rPr>
          <w:rFonts w:ascii="Times New Roman" w:hAnsi="Times New Roman"/>
          <w:sz w:val="28"/>
          <w:szCs w:val="28"/>
        </w:rPr>
        <w:t xml:space="preserve"> которой о</w:t>
      </w:r>
      <w:r w:rsidRPr="00286121">
        <w:rPr>
          <w:rFonts w:ascii="Times New Roman" w:hAnsi="Times New Roman"/>
          <w:sz w:val="28"/>
          <w:szCs w:val="28"/>
        </w:rPr>
        <w:t xml:space="preserve">сновными задачами Ханты-Мансийского района являются улучшение жилищных условий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и повышение уровня жилищной обеспеченности жителей района, ликвидация аварийного </w:t>
      </w:r>
      <w:r w:rsidR="00581958" w:rsidRPr="00286121">
        <w:rPr>
          <w:rFonts w:ascii="Times New Roman" w:hAnsi="Times New Roman"/>
          <w:sz w:val="28"/>
          <w:szCs w:val="28"/>
        </w:rPr>
        <w:t>жилищного фонда</w:t>
      </w:r>
      <w:r w:rsidR="006B6818" w:rsidRPr="00286121">
        <w:rPr>
          <w:rFonts w:ascii="Times New Roman" w:hAnsi="Times New Roman"/>
          <w:sz w:val="28"/>
          <w:szCs w:val="28"/>
        </w:rPr>
        <w:t>.</w:t>
      </w:r>
    </w:p>
    <w:p w:rsidR="000105A9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Муниципальной программы Департаментом имущественных и земельных отношений осуществляются действия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</w:t>
      </w:r>
      <w:r w:rsidR="00581958" w:rsidRPr="00286121">
        <w:rPr>
          <w:sz w:val="28"/>
          <w:szCs w:val="28"/>
        </w:rPr>
        <w:t>земельных участков</w:t>
      </w:r>
      <w:r w:rsidRPr="00286121">
        <w:rPr>
          <w:sz w:val="28"/>
          <w:szCs w:val="28"/>
        </w:rPr>
        <w:t xml:space="preserve"> инженерной инфраструктурой.</w:t>
      </w:r>
    </w:p>
    <w:p w:rsidR="00B673BA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</w:t>
      </w:r>
      <w:r w:rsidR="00B673BA" w:rsidRPr="00286121">
        <w:rPr>
          <w:sz w:val="28"/>
          <w:szCs w:val="28"/>
        </w:rPr>
        <w:t xml:space="preserve"> рамках муниципальной программы </w:t>
      </w:r>
      <w:r w:rsidRPr="00286121">
        <w:rPr>
          <w:sz w:val="28"/>
          <w:szCs w:val="28"/>
        </w:rPr>
        <w:t>с</w:t>
      </w:r>
      <w:r w:rsidR="00B673BA" w:rsidRPr="00286121">
        <w:rPr>
          <w:sz w:val="28"/>
          <w:szCs w:val="28"/>
        </w:rPr>
        <w:t>формирова</w:t>
      </w:r>
      <w:r w:rsidRPr="00286121">
        <w:rPr>
          <w:sz w:val="28"/>
          <w:szCs w:val="28"/>
        </w:rPr>
        <w:t>ть</w:t>
      </w:r>
      <w:r w:rsidR="00B673BA" w:rsidRPr="00286121">
        <w:rPr>
          <w:sz w:val="28"/>
          <w:szCs w:val="28"/>
        </w:rPr>
        <w:t xml:space="preserve"> благоприятн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делов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сред</w:t>
      </w:r>
      <w:r w:rsidRPr="00286121">
        <w:rPr>
          <w:sz w:val="28"/>
          <w:szCs w:val="28"/>
        </w:rPr>
        <w:t>у</w:t>
      </w:r>
      <w:r w:rsidR="00B673BA" w:rsidRPr="00286121">
        <w:rPr>
          <w:sz w:val="28"/>
          <w:szCs w:val="28"/>
        </w:rPr>
        <w:t xml:space="preserve">, путем привлечения в муниципалитет заинтересованного предпринимательского сообщества, в частности застройщиков качественного и современного жилья, </w:t>
      </w:r>
      <w:r w:rsidRPr="00286121">
        <w:rPr>
          <w:sz w:val="28"/>
          <w:szCs w:val="28"/>
        </w:rPr>
        <w:t xml:space="preserve">и </w:t>
      </w:r>
      <w:r w:rsidR="00B673BA" w:rsidRPr="00286121">
        <w:rPr>
          <w:sz w:val="28"/>
          <w:szCs w:val="28"/>
        </w:rPr>
        <w:t>реализ</w:t>
      </w:r>
      <w:r w:rsidRPr="00286121">
        <w:rPr>
          <w:sz w:val="28"/>
          <w:szCs w:val="28"/>
        </w:rPr>
        <w:t>ацию</w:t>
      </w:r>
      <w:r w:rsidR="00B673BA" w:rsidRPr="00286121">
        <w:rPr>
          <w:sz w:val="28"/>
          <w:szCs w:val="28"/>
        </w:rPr>
        <w:t xml:space="preserve"> мероприяти</w:t>
      </w:r>
      <w:r w:rsidRPr="00286121">
        <w:rPr>
          <w:sz w:val="28"/>
          <w:szCs w:val="28"/>
        </w:rPr>
        <w:t>я</w:t>
      </w:r>
      <w:r w:rsidR="002A6033" w:rsidRPr="00286121">
        <w:rPr>
          <w:sz w:val="28"/>
          <w:szCs w:val="28"/>
        </w:rPr>
        <w:t xml:space="preserve"> </w:t>
      </w:r>
      <w:r w:rsidR="00B673BA" w:rsidRPr="00286121">
        <w:rPr>
          <w:sz w:val="28"/>
          <w:szCs w:val="28"/>
        </w:rPr>
        <w:t xml:space="preserve">«Приобретение жилых помещений </w:t>
      </w:r>
      <w:r w:rsidR="000063EA" w:rsidRPr="00286121">
        <w:rPr>
          <w:sz w:val="28"/>
          <w:szCs w:val="28"/>
        </w:rPr>
        <w:t>п</w:t>
      </w:r>
      <w:r w:rsidR="00B673BA" w:rsidRPr="00286121">
        <w:rPr>
          <w:sz w:val="28"/>
          <w:szCs w:val="28"/>
        </w:rPr>
        <w:t xml:space="preserve">о договорам </w:t>
      </w:r>
      <w:r w:rsidR="00E235C5">
        <w:rPr>
          <w:sz w:val="28"/>
          <w:szCs w:val="28"/>
        </w:rPr>
        <w:br/>
      </w:r>
      <w:r w:rsidR="00B673BA" w:rsidRPr="00286121">
        <w:rPr>
          <w:sz w:val="28"/>
          <w:szCs w:val="28"/>
        </w:rPr>
        <w:t>купли-продажи и (или</w:t>
      </w:r>
      <w:r w:rsidR="00E235C5">
        <w:rPr>
          <w:sz w:val="28"/>
          <w:szCs w:val="28"/>
        </w:rPr>
        <w:t xml:space="preserve">) приобретение жилых помещений </w:t>
      </w:r>
      <w:r w:rsidR="00B673BA" w:rsidRPr="00286121">
        <w:rPr>
          <w:sz w:val="28"/>
          <w:szCs w:val="28"/>
        </w:rPr>
        <w:t>по договорам участия в долевом строительстве».</w:t>
      </w:r>
    </w:p>
    <w:p w:rsidR="000063EA" w:rsidRPr="00286121" w:rsidRDefault="000063EA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673BA" w:rsidRPr="00286121" w:rsidRDefault="000105A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муниципальной программы</w:t>
      </w:r>
      <w:r w:rsidR="00B673BA" w:rsidRPr="00286121">
        <w:rPr>
          <w:sz w:val="28"/>
          <w:szCs w:val="28"/>
        </w:rPr>
        <w:t xml:space="preserve">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</w:t>
      </w:r>
      <w:r w:rsidRPr="00286121">
        <w:rPr>
          <w:sz w:val="28"/>
          <w:szCs w:val="28"/>
        </w:rPr>
        <w:t xml:space="preserve">, </w:t>
      </w:r>
      <w:r w:rsidR="000063EA"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 xml:space="preserve">в улучшении жилищных условий, </w:t>
      </w:r>
      <w:r w:rsidR="00581958" w:rsidRPr="00286121">
        <w:rPr>
          <w:sz w:val="27"/>
          <w:szCs w:val="27"/>
        </w:rPr>
        <w:t>а так же к сокращению</w:t>
      </w:r>
      <w:r w:rsidRPr="00286121">
        <w:rPr>
          <w:sz w:val="27"/>
          <w:szCs w:val="27"/>
        </w:rPr>
        <w:t xml:space="preserve"> аварийного жилья</w:t>
      </w:r>
      <w:r w:rsidR="000063EA" w:rsidRPr="00286121">
        <w:rPr>
          <w:sz w:val="27"/>
          <w:szCs w:val="27"/>
        </w:rPr>
        <w:t xml:space="preserve">,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lastRenderedPageBreak/>
        <w:t xml:space="preserve">в том числе направленные на достижение показателей национального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>и регионального проектов</w:t>
      </w:r>
      <w:r w:rsidR="00B673BA" w:rsidRPr="00286121">
        <w:rPr>
          <w:sz w:val="28"/>
          <w:szCs w:val="28"/>
        </w:rPr>
        <w:t xml:space="preserve">. </w:t>
      </w:r>
    </w:p>
    <w:p w:rsidR="00B82EF2" w:rsidRPr="00286121" w:rsidRDefault="00B82EF2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286121">
        <w:rPr>
          <w:sz w:val="28"/>
          <w:szCs w:val="28"/>
        </w:rPr>
        <w:br/>
        <w:t xml:space="preserve">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муниципальных нужд».</w:t>
      </w:r>
    </w:p>
    <w:p w:rsidR="00011D72" w:rsidRPr="0028612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286121" w:rsidRDefault="00011D72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мероприяти</w:t>
      </w:r>
      <w:r w:rsidR="00DC0143" w:rsidRPr="00286121">
        <w:rPr>
          <w:sz w:val="28"/>
          <w:szCs w:val="28"/>
        </w:rPr>
        <w:t>я</w:t>
      </w:r>
      <w:r w:rsidRPr="00286121">
        <w:rPr>
          <w:sz w:val="28"/>
          <w:szCs w:val="28"/>
        </w:rPr>
        <w:t>, предусмотренн</w:t>
      </w:r>
      <w:r w:rsidR="00DC0143" w:rsidRPr="00286121">
        <w:rPr>
          <w:sz w:val="28"/>
          <w:szCs w:val="28"/>
        </w:rPr>
        <w:t>ы</w:t>
      </w:r>
      <w:r w:rsidRPr="00286121">
        <w:rPr>
          <w:sz w:val="28"/>
          <w:szCs w:val="28"/>
        </w:rPr>
        <w:t>е пункт</w:t>
      </w:r>
      <w:r w:rsidR="00DC0143" w:rsidRPr="00286121">
        <w:rPr>
          <w:sz w:val="28"/>
          <w:szCs w:val="28"/>
        </w:rPr>
        <w:t>ами</w:t>
      </w:r>
      <w:r w:rsidRPr="00286121">
        <w:rPr>
          <w:sz w:val="28"/>
          <w:szCs w:val="28"/>
        </w:rPr>
        <w:t xml:space="preserve"> 1.1</w:t>
      </w:r>
      <w:r w:rsidR="00DC0143" w:rsidRPr="00286121">
        <w:rPr>
          <w:sz w:val="28"/>
          <w:szCs w:val="28"/>
        </w:rPr>
        <w:t>, 1.2</w:t>
      </w:r>
      <w:r w:rsidRPr="00286121">
        <w:rPr>
          <w:sz w:val="28"/>
          <w:szCs w:val="28"/>
        </w:rPr>
        <w:t xml:space="preserve"> таблицы 2, реализу</w:t>
      </w:r>
      <w:r w:rsidR="00DC0143" w:rsidRPr="00286121">
        <w:rPr>
          <w:sz w:val="28"/>
          <w:szCs w:val="28"/>
        </w:rPr>
        <w:t>ю</w:t>
      </w:r>
      <w:r w:rsidRPr="00286121">
        <w:rPr>
          <w:sz w:val="28"/>
          <w:szCs w:val="28"/>
        </w:rPr>
        <w:t>тся с учетом действующего законодательства</w:t>
      </w:r>
      <w:r w:rsidR="00737240" w:rsidRPr="00286121">
        <w:rPr>
          <w:sz w:val="28"/>
          <w:szCs w:val="28"/>
        </w:rPr>
        <w:t xml:space="preserve">, в соответствии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округа – </w:t>
      </w:r>
      <w:proofErr w:type="spellStart"/>
      <w:r w:rsidR="00737240" w:rsidRPr="00286121">
        <w:rPr>
          <w:sz w:val="28"/>
          <w:szCs w:val="28"/>
        </w:rPr>
        <w:t>Югры</w:t>
      </w:r>
      <w:proofErr w:type="spellEnd"/>
      <w:r w:rsidR="00737240" w:rsidRPr="00286121">
        <w:rPr>
          <w:sz w:val="28"/>
          <w:szCs w:val="28"/>
        </w:rPr>
        <w:t xml:space="preserve"> от </w:t>
      </w:r>
      <w:r w:rsidR="00E235C5">
        <w:rPr>
          <w:sz w:val="28"/>
          <w:szCs w:val="28"/>
        </w:rPr>
        <w:t>0</w:t>
      </w:r>
      <w:r w:rsidR="00737240"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="00737240" w:rsidRPr="00286121">
        <w:rPr>
          <w:sz w:val="28"/>
          <w:szCs w:val="28"/>
        </w:rPr>
        <w:t>2018 № 346</w:t>
      </w:r>
      <w:r w:rsidR="00E235C5">
        <w:rPr>
          <w:sz w:val="28"/>
          <w:szCs w:val="28"/>
        </w:rPr>
        <w:t xml:space="preserve">-п «О государственной программе </w:t>
      </w:r>
      <w:r w:rsidR="00737240" w:rsidRPr="0028612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737240" w:rsidRPr="00286121">
        <w:rPr>
          <w:sz w:val="28"/>
          <w:szCs w:val="28"/>
        </w:rPr>
        <w:t>Югры</w:t>
      </w:r>
      <w:proofErr w:type="spellEnd"/>
      <w:r w:rsidR="00737240" w:rsidRPr="00286121">
        <w:rPr>
          <w:sz w:val="28"/>
          <w:szCs w:val="28"/>
        </w:rPr>
        <w:t xml:space="preserve"> «Развитие жилищной сферы» </w:t>
      </w:r>
      <w:r w:rsidRPr="00286121">
        <w:rPr>
          <w:sz w:val="28"/>
          <w:szCs w:val="28"/>
        </w:rPr>
        <w:t xml:space="preserve">и программ, принятых сельскими поселениями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DC0143" w:rsidRPr="00286121" w:rsidRDefault="00643EC7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286121">
        <w:rPr>
          <w:rFonts w:ascii="Times New Roman" w:hAnsi="Times New Roman"/>
          <w:sz w:val="28"/>
          <w:szCs w:val="28"/>
          <w:lang w:eastAsia="ru-RU"/>
        </w:rPr>
        <w:t>,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8612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E235C5">
        <w:rPr>
          <w:rFonts w:ascii="Times New Roman" w:hAnsi="Times New Roman"/>
          <w:sz w:val="28"/>
          <w:szCs w:val="28"/>
        </w:rPr>
        <w:t>.05.</w:t>
      </w:r>
      <w:r w:rsidRPr="0028612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на строительство жилых помещений молодым семьям </w:t>
      </w:r>
      <w:r w:rsidR="00E235C5">
        <w:rPr>
          <w:rFonts w:ascii="Times New Roman" w:hAnsi="Times New Roman"/>
          <w:sz w:val="28"/>
          <w:szCs w:val="28"/>
        </w:rPr>
        <w:br/>
      </w:r>
      <w:proofErr w:type="gramStart"/>
      <w:r w:rsidRPr="00286121">
        <w:rPr>
          <w:rFonts w:ascii="Times New Roman" w:hAnsi="Times New Roman"/>
          <w:sz w:val="28"/>
          <w:szCs w:val="28"/>
        </w:rPr>
        <w:t>в</w:t>
      </w:r>
      <w:proofErr w:type="gramEnd"/>
      <w:r w:rsidRPr="00286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12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6121">
        <w:rPr>
          <w:rFonts w:ascii="Times New Roman" w:hAnsi="Times New Roman"/>
          <w:sz w:val="28"/>
          <w:szCs w:val="28"/>
        </w:rPr>
        <w:t xml:space="preserve"> районе»;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</w:t>
      </w:r>
      <w:proofErr w:type="spellStart"/>
      <w:r w:rsidRPr="00286121">
        <w:rPr>
          <w:rFonts w:ascii="Times New Roman" w:hAnsi="Times New Roman"/>
          <w:sz w:val="28"/>
          <w:szCs w:val="28"/>
        </w:rPr>
        <w:t>Югры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 от </w:t>
      </w:r>
      <w:r w:rsidR="00E235C5"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 w:rsidR="00E235C5"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 xml:space="preserve">2018 № 346-п «О государственной программе Ханты-Мансийского автономного округа – </w:t>
      </w:r>
      <w:proofErr w:type="spellStart"/>
      <w:r w:rsidRPr="00286121">
        <w:rPr>
          <w:rFonts w:ascii="Times New Roman" w:hAnsi="Times New Roman"/>
          <w:sz w:val="28"/>
          <w:szCs w:val="28"/>
        </w:rPr>
        <w:t>Югры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от</w:t>
      </w:r>
      <w:r w:rsidR="00E235C5"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 xml:space="preserve">2018 № 346-п «О государственной программе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 xml:space="preserve"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для приобретения жилых помещений в собственность, утвержденным постановлением Правительства Ханты-Мансийского авто</w:t>
      </w:r>
      <w:r w:rsidR="00E235C5">
        <w:rPr>
          <w:sz w:val="28"/>
          <w:szCs w:val="28"/>
        </w:rPr>
        <w:t xml:space="preserve">номного округа – </w:t>
      </w:r>
      <w:proofErr w:type="spellStart"/>
      <w:r w:rsidR="00E235C5">
        <w:rPr>
          <w:sz w:val="28"/>
          <w:szCs w:val="28"/>
        </w:rPr>
        <w:t>Югры</w:t>
      </w:r>
      <w:proofErr w:type="spellEnd"/>
      <w:r w:rsidR="00E235C5">
        <w:rPr>
          <w:sz w:val="28"/>
          <w:szCs w:val="28"/>
        </w:rPr>
        <w:t xml:space="preserve"> от 10.10.</w:t>
      </w:r>
      <w:r w:rsidRPr="00286121">
        <w:rPr>
          <w:sz w:val="28"/>
          <w:szCs w:val="28"/>
        </w:rPr>
        <w:t>2006 № 237-п</w:t>
      </w:r>
      <w:r w:rsidR="0088233A" w:rsidRPr="00286121">
        <w:rPr>
          <w:sz w:val="28"/>
          <w:szCs w:val="28"/>
        </w:rPr>
        <w:t>;</w:t>
      </w:r>
    </w:p>
    <w:p w:rsidR="0088233A" w:rsidRPr="00286121" w:rsidRDefault="0088233A" w:rsidP="00E235C5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lastRenderedPageBreak/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бюджетам муниципальных образований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«Развитие агропромышленного комплекса», утвержденной постановлением Правительства Ханты-Мансийского автономного округа – </w:t>
      </w:r>
      <w:proofErr w:type="spellStart"/>
      <w:r w:rsidRPr="00286121">
        <w:rPr>
          <w:sz w:val="28"/>
          <w:szCs w:val="28"/>
        </w:rPr>
        <w:t>Югры</w:t>
      </w:r>
      <w:proofErr w:type="spellEnd"/>
      <w:r w:rsidRPr="00286121">
        <w:rPr>
          <w:sz w:val="28"/>
          <w:szCs w:val="28"/>
        </w:rPr>
        <w:t xml:space="preserve">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Pr="00286121">
        <w:rPr>
          <w:sz w:val="28"/>
          <w:szCs w:val="28"/>
        </w:rPr>
        <w:t>2018 № 344-п, а так</w:t>
      </w:r>
      <w:proofErr w:type="gramEnd"/>
      <w:r w:rsidRPr="00286121">
        <w:rPr>
          <w:sz w:val="28"/>
          <w:szCs w:val="28"/>
        </w:rPr>
        <w:t xml:space="preserve"> </w:t>
      </w:r>
      <w:proofErr w:type="gramStart"/>
      <w:r w:rsidRPr="00286121">
        <w:rPr>
          <w:sz w:val="28"/>
          <w:szCs w:val="28"/>
        </w:rPr>
        <w:t>же</w:t>
      </w:r>
      <w:proofErr w:type="gramEnd"/>
      <w:r w:rsidRPr="00286121">
        <w:rPr>
          <w:sz w:val="28"/>
          <w:szCs w:val="28"/>
        </w:rPr>
        <w:t xml:space="preserve"> Правилами предоставления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 w:rsidR="00E235C5"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</w:t>
      </w:r>
      <w:r w:rsidR="000451C1" w:rsidRPr="00286121">
        <w:rPr>
          <w:sz w:val="28"/>
          <w:szCs w:val="28"/>
        </w:rPr>
        <w:t>;</w:t>
      </w:r>
    </w:p>
    <w:p w:rsidR="000451C1" w:rsidRPr="00286121" w:rsidRDefault="000451C1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0451C1" w:rsidRPr="00286121" w:rsidRDefault="00C85A5C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</w:t>
      </w:r>
      <w:r w:rsidR="000451C1" w:rsidRPr="00286121">
        <w:rPr>
          <w:sz w:val="28"/>
          <w:szCs w:val="28"/>
        </w:rPr>
        <w:t xml:space="preserve">ненормативных документов департамента имущественных и земельных отношений в сфере жилищных отношений, </w:t>
      </w:r>
      <w:r w:rsidR="00E7238E" w:rsidRPr="00286121">
        <w:rPr>
          <w:sz w:val="28"/>
          <w:szCs w:val="28"/>
        </w:rPr>
        <w:t>направленных на</w:t>
      </w:r>
      <w:r w:rsidR="000451C1" w:rsidRPr="00286121">
        <w:rPr>
          <w:sz w:val="28"/>
          <w:szCs w:val="28"/>
        </w:rPr>
        <w:t xml:space="preserve"> реализаци</w:t>
      </w:r>
      <w:r w:rsidR="00E7238E" w:rsidRPr="00286121">
        <w:rPr>
          <w:sz w:val="28"/>
          <w:szCs w:val="28"/>
        </w:rPr>
        <w:t>ю</w:t>
      </w:r>
      <w:r w:rsidR="000451C1" w:rsidRPr="00286121">
        <w:rPr>
          <w:sz w:val="28"/>
          <w:szCs w:val="28"/>
        </w:rPr>
        <w:t xml:space="preserve"> </w:t>
      </w:r>
      <w:r w:rsidR="00E7238E" w:rsidRPr="00286121">
        <w:rPr>
          <w:sz w:val="28"/>
          <w:szCs w:val="28"/>
        </w:rPr>
        <w:t xml:space="preserve">задач муниципальной программы </w:t>
      </w:r>
      <w:r w:rsidR="00E235C5">
        <w:rPr>
          <w:sz w:val="28"/>
          <w:szCs w:val="28"/>
        </w:rPr>
        <w:br/>
      </w:r>
      <w:r w:rsidR="00E7238E" w:rsidRPr="00286121">
        <w:rPr>
          <w:sz w:val="28"/>
          <w:szCs w:val="28"/>
        </w:rPr>
        <w:t xml:space="preserve">и обеспечение реализации </w:t>
      </w:r>
      <w:r w:rsidR="000451C1" w:rsidRPr="00286121">
        <w:rPr>
          <w:sz w:val="28"/>
          <w:szCs w:val="28"/>
        </w:rPr>
        <w:t>программных мероприятий</w:t>
      </w:r>
      <w:r w:rsidR="001A53F5" w:rsidRPr="00286121">
        <w:rPr>
          <w:sz w:val="28"/>
          <w:szCs w:val="28"/>
        </w:rPr>
        <w:t>.</w:t>
      </w:r>
    </w:p>
    <w:p w:rsidR="00581639" w:rsidRPr="00286121" w:rsidRDefault="0036680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proofErr w:type="gramStart"/>
      <w:r w:rsidR="00581639" w:rsidRPr="00286121">
        <w:rPr>
          <w:sz w:val="28"/>
          <w:szCs w:val="28"/>
        </w:rPr>
        <w:t>показателя эффективности деятельности органов местного самоуправления</w:t>
      </w:r>
      <w:proofErr w:type="gramEnd"/>
      <w:r w:rsidR="00581639" w:rsidRPr="00286121">
        <w:rPr>
          <w:sz w:val="28"/>
          <w:szCs w:val="28"/>
        </w:rPr>
        <w:t xml:space="preserve">: </w:t>
      </w:r>
      <w:proofErr w:type="gramStart"/>
      <w:r w:rsidR="00581639" w:rsidRPr="00286121">
        <w:rPr>
          <w:sz w:val="28"/>
          <w:szCs w:val="28"/>
        </w:rPr>
        <w:t>«</w:t>
      </w:r>
      <w:r w:rsidR="00581639" w:rsidRPr="00286121">
        <w:rPr>
          <w:rFonts w:eastAsia="Times New Roman"/>
          <w:sz w:val="28"/>
          <w:szCs w:val="28"/>
        </w:rPr>
        <w:t xml:space="preserve">Доля </w:t>
      </w:r>
      <w:r w:rsidR="00581639" w:rsidRPr="00286121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="00E235C5">
        <w:rPr>
          <w:rFonts w:eastAsia="Courier New"/>
          <w:sz w:val="28"/>
          <w:szCs w:val="28"/>
        </w:rPr>
        <w:br/>
      </w:r>
      <w:r w:rsidR="00581639" w:rsidRPr="00286121">
        <w:rPr>
          <w:rFonts w:eastAsia="Courier New"/>
          <w:sz w:val="28"/>
          <w:szCs w:val="28"/>
        </w:rPr>
        <w:t xml:space="preserve">и улучшившего жилищные условия в отчетном году, в общей численности населения, состоящего на учете в качестве нуждающегося в жилых помещениях», </w:t>
      </w:r>
      <w:r w:rsidR="00581639" w:rsidRPr="00286121">
        <w:rPr>
          <w:sz w:val="28"/>
          <w:szCs w:val="28"/>
        </w:rPr>
        <w:t xml:space="preserve">а также следующих </w:t>
      </w:r>
      <w:r w:rsidRPr="00286121">
        <w:rPr>
          <w:sz w:val="28"/>
          <w:szCs w:val="28"/>
        </w:rPr>
        <w:t>целевых показателей муниципальной программы</w:t>
      </w:r>
      <w:r w:rsidR="00581639" w:rsidRPr="00286121">
        <w:rPr>
          <w:sz w:val="28"/>
          <w:szCs w:val="28"/>
        </w:rPr>
        <w:t>:</w:t>
      </w:r>
      <w:proofErr w:type="gramEnd"/>
    </w:p>
    <w:p w:rsidR="00366802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581639" w:rsidRPr="00286121" w:rsidRDefault="00581639" w:rsidP="00E235C5">
      <w:pPr>
        <w:ind w:firstLine="709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 w:rsidR="00E235C5"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lastRenderedPageBreak/>
        <w:t xml:space="preserve">№ 4-жилфонд «Сведения о предоставлении гражданам жилых помещений», и </w:t>
      </w:r>
      <w:r w:rsidR="00EB2B68" w:rsidRPr="00286121">
        <w:rPr>
          <w:sz w:val="28"/>
          <w:szCs w:val="28"/>
        </w:rPr>
        <w:t xml:space="preserve">отчетных данных сельских поселений района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>о численности населения, состоящего на учете в качестве нуждающегося</w:t>
      </w:r>
      <w:proofErr w:type="gramEnd"/>
      <w:r w:rsidR="00EB2B68" w:rsidRPr="00286121">
        <w:rPr>
          <w:sz w:val="28"/>
          <w:szCs w:val="28"/>
        </w:rPr>
        <w:t xml:space="preserve">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>в жилых помещениях</w:t>
      </w:r>
      <w:r w:rsidRPr="00286121">
        <w:rPr>
          <w:sz w:val="28"/>
          <w:szCs w:val="28"/>
        </w:rPr>
        <w:t>,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 w:rsidR="00E235C5"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>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>к</w:t>
      </w:r>
      <w:proofErr w:type="gramEnd"/>
      <w:r w:rsidRPr="00286121">
        <w:rPr>
          <w:sz w:val="28"/>
          <w:szCs w:val="28"/>
        </w:rPr>
        <w:t>оличество граждан, расселенных из аварийного жилищного фонда, признанного таковым до 1 января 2017 года (чел.)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581639" w:rsidRPr="00286121" w:rsidRDefault="001C242F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</w:t>
      </w:r>
      <w:r w:rsidR="00EB2B68" w:rsidRPr="00286121">
        <w:rPr>
          <w:sz w:val="28"/>
          <w:szCs w:val="28"/>
        </w:rPr>
        <w:t xml:space="preserve"> показателей </w:t>
      </w:r>
      <w:r w:rsidRPr="00286121">
        <w:rPr>
          <w:sz w:val="28"/>
          <w:szCs w:val="28"/>
        </w:rPr>
        <w:t xml:space="preserve">плана </w:t>
      </w:r>
      <w:r w:rsidR="00EB2B68" w:rsidRPr="00286121">
        <w:rPr>
          <w:sz w:val="28"/>
          <w:szCs w:val="28"/>
        </w:rPr>
        <w:t xml:space="preserve">зависит от объема финансирования программных мероприятий, ввода жилья </w:t>
      </w:r>
      <w:r w:rsidR="005207E8" w:rsidRPr="00286121">
        <w:rPr>
          <w:sz w:val="28"/>
          <w:szCs w:val="28"/>
        </w:rPr>
        <w:t xml:space="preserve">на территории района и </w:t>
      </w:r>
      <w:r w:rsidR="00EB2B68" w:rsidRPr="00286121">
        <w:rPr>
          <w:sz w:val="28"/>
          <w:szCs w:val="28"/>
        </w:rPr>
        <w:t>уровня жизни населения района (уменьшение малоимущих граждан, нуждающихся в улучшении жилищных условий)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 w:rsidR="00366802" w:rsidRPr="00286121">
        <w:rPr>
          <w:rFonts w:ascii="Times New Roman" w:hAnsi="Times New Roman"/>
          <w:sz w:val="28"/>
          <w:szCs w:val="28"/>
        </w:rPr>
        <w:t xml:space="preserve">и достижения указанных показателей </w:t>
      </w:r>
      <w:r w:rsidRPr="00286121">
        <w:rPr>
          <w:rFonts w:ascii="Times New Roman" w:hAnsi="Times New Roman"/>
          <w:sz w:val="28"/>
          <w:szCs w:val="28"/>
        </w:rPr>
        <w:t>департамент имущественных и земельных отношений: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</w:t>
      </w:r>
      <w:r w:rsidR="002A1196" w:rsidRPr="00286121">
        <w:rPr>
          <w:rFonts w:ascii="Times New Roman" w:hAnsi="Times New Roman"/>
          <w:sz w:val="28"/>
          <w:szCs w:val="28"/>
        </w:rPr>
        <w:t xml:space="preserve"> путем заключения муниципальных контрактов</w:t>
      </w:r>
      <w:r w:rsidRPr="00286121">
        <w:rPr>
          <w:rFonts w:ascii="Times New Roman" w:hAnsi="Times New Roman"/>
          <w:sz w:val="28"/>
          <w:szCs w:val="28"/>
        </w:rPr>
        <w:t xml:space="preserve"> купли-продажи </w:t>
      </w:r>
      <w:r w:rsidR="002A1196" w:rsidRPr="00286121">
        <w:rPr>
          <w:rFonts w:ascii="Times New Roman" w:hAnsi="Times New Roman"/>
          <w:sz w:val="28"/>
          <w:szCs w:val="28"/>
        </w:rPr>
        <w:t>жилых помещений</w:t>
      </w:r>
      <w:r w:rsidR="003C2E5B">
        <w:rPr>
          <w:rFonts w:ascii="Times New Roman" w:hAnsi="Times New Roman"/>
          <w:sz w:val="28"/>
          <w:szCs w:val="28"/>
        </w:rPr>
        <w:t xml:space="preserve"> и (или)</w:t>
      </w:r>
      <w:r w:rsidR="00F8298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</w:t>
      </w:r>
      <w:r w:rsidR="002A1196" w:rsidRPr="00286121">
        <w:rPr>
          <w:rFonts w:ascii="Times New Roman" w:hAnsi="Times New Roman"/>
          <w:sz w:val="28"/>
          <w:szCs w:val="28"/>
        </w:rPr>
        <w:t xml:space="preserve">, в том числе с использованием </w:t>
      </w:r>
      <w:proofErr w:type="spellStart"/>
      <w:r w:rsidR="002A1196"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88233A" w:rsidRPr="00286121" w:rsidRDefault="0088233A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 для переселения граждан из аварийного жил</w:t>
      </w:r>
      <w:r w:rsidRPr="00286121">
        <w:rPr>
          <w:rFonts w:ascii="Times New Roman" w:hAnsi="Times New Roman"/>
          <w:sz w:val="28"/>
          <w:szCs w:val="28"/>
        </w:rPr>
        <w:t>ищного фонда</w:t>
      </w:r>
      <w:r w:rsidR="00011D72" w:rsidRPr="00286121">
        <w:rPr>
          <w:rFonts w:ascii="Times New Roman" w:hAnsi="Times New Roman"/>
          <w:sz w:val="28"/>
          <w:szCs w:val="28"/>
        </w:rPr>
        <w:t>;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11D72" w:rsidRPr="00286121">
        <w:rPr>
          <w:rFonts w:ascii="Times New Roman" w:hAnsi="Times New Roman"/>
          <w:sz w:val="28"/>
          <w:szCs w:val="28"/>
        </w:rPr>
        <w:t>для предоставления гражданам, состоящим на учете в качестве нуждающихся в жилых помещениях;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</w:t>
      </w:r>
      <w:r w:rsidR="00C33F07" w:rsidRPr="00286121">
        <w:rPr>
          <w:rFonts w:ascii="Times New Roman" w:hAnsi="Times New Roman"/>
          <w:sz w:val="28"/>
          <w:szCs w:val="28"/>
        </w:rPr>
        <w:t>, а так</w:t>
      </w:r>
      <w:r w:rsidR="005B49D4" w:rsidRPr="00286121">
        <w:rPr>
          <w:rFonts w:ascii="Times New Roman" w:hAnsi="Times New Roman"/>
          <w:sz w:val="28"/>
          <w:szCs w:val="28"/>
        </w:rPr>
        <w:t xml:space="preserve">же для </w:t>
      </w:r>
      <w:r w:rsidR="00060536" w:rsidRPr="00286121">
        <w:rPr>
          <w:rFonts w:ascii="Times New Roman" w:hAnsi="Times New Roman"/>
          <w:sz w:val="28"/>
          <w:szCs w:val="28"/>
        </w:rPr>
        <w:t>формирования</w:t>
      </w:r>
      <w:r w:rsidR="005B49D4" w:rsidRPr="00286121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E7238E" w:rsidRPr="00286121" w:rsidRDefault="00E7238E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 w:rsidR="00E235C5"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</w:t>
      </w:r>
      <w:r w:rsidR="001A53F5" w:rsidRPr="00286121">
        <w:rPr>
          <w:sz w:val="28"/>
          <w:szCs w:val="28"/>
        </w:rPr>
        <w:t xml:space="preserve"> ежеквартально и ежегодно направляется следующая информация:</w:t>
      </w:r>
    </w:p>
    <w:p w:rsidR="00011D72" w:rsidRPr="00286121" w:rsidRDefault="00011D72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</w:t>
      </w:r>
      <w:r w:rsidR="00E7238E" w:rsidRPr="00286121">
        <w:rPr>
          <w:sz w:val="28"/>
          <w:szCs w:val="28"/>
        </w:rPr>
        <w:t xml:space="preserve"> и использовании финансовых средств, анализ показателей эффективности реализации программы, о ходе исполнения комплексного плана</w:t>
      </w:r>
      <w:r w:rsidRPr="00286121">
        <w:rPr>
          <w:sz w:val="28"/>
          <w:szCs w:val="28"/>
        </w:rPr>
        <w:t xml:space="preserve"> </w:t>
      </w:r>
      <w:r w:rsidR="001A53F5" w:rsidRPr="00286121">
        <w:rPr>
          <w:sz w:val="28"/>
          <w:szCs w:val="28"/>
        </w:rPr>
        <w:t>–</w:t>
      </w:r>
      <w:r w:rsidR="00E7238E" w:rsidRPr="00286121">
        <w:rPr>
          <w:sz w:val="28"/>
          <w:szCs w:val="28"/>
        </w:rPr>
        <w:t xml:space="preserve"> </w:t>
      </w:r>
      <w:r w:rsidRPr="00286121">
        <w:rPr>
          <w:sz w:val="28"/>
          <w:szCs w:val="28"/>
        </w:rPr>
        <w:t>в комитет экономической политики администрации района</w:t>
      </w:r>
      <w:r w:rsidR="001A53F5" w:rsidRPr="00286121">
        <w:rPr>
          <w:sz w:val="28"/>
          <w:szCs w:val="28"/>
        </w:rPr>
        <w:t>;</w:t>
      </w:r>
    </w:p>
    <w:p w:rsidR="001A53F5" w:rsidRPr="00286121" w:rsidRDefault="001A53F5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</w:t>
      </w:r>
      <w:proofErr w:type="gramStart"/>
      <w:r w:rsidRPr="00286121">
        <w:rPr>
          <w:sz w:val="28"/>
          <w:szCs w:val="28"/>
        </w:rPr>
        <w:t>дств в к</w:t>
      </w:r>
      <w:proofErr w:type="gramEnd"/>
      <w:r w:rsidRPr="00286121">
        <w:rPr>
          <w:sz w:val="28"/>
          <w:szCs w:val="28"/>
        </w:rPr>
        <w:t>омитет по финансам администрации Ханты-Мансийского района.</w:t>
      </w:r>
    </w:p>
    <w:p w:rsidR="000063EA" w:rsidRPr="00D61141" w:rsidRDefault="000063EA" w:rsidP="00E235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E235C5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Default="00011D72" w:rsidP="00E235C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642"/>
        <w:gridCol w:w="642"/>
        <w:gridCol w:w="643"/>
        <w:gridCol w:w="2058"/>
        <w:gridCol w:w="4395"/>
      </w:tblGrid>
      <w:tr w:rsidR="006B4E98" w:rsidRPr="00590DDA" w:rsidTr="00583AAB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90DDA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590DDA" w:rsidTr="00583AAB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058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590DDA" w:rsidTr="00583AAB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B4E98" w:rsidRPr="00590DDA" w:rsidTr="00583AAB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r w:rsidR="00E235C5">
              <w:rPr>
                <w:sz w:val="22"/>
                <w:szCs w:val="22"/>
              </w:rPr>
              <w:br/>
            </w:r>
            <w:r w:rsidRPr="00590DDA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764A88" w:rsidRDefault="00D13675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2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23,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2" w:type="dxa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6B4E98" w:rsidRPr="00764A88" w:rsidRDefault="00234CAB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2058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 xml:space="preserve">сводные таблицы </w:t>
            </w:r>
            <w:proofErr w:type="spellStart"/>
            <w:r w:rsidRPr="00590DDA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590DDA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19,1</w:t>
            </w:r>
          </w:p>
        </w:tc>
        <w:tc>
          <w:tcPr>
            <w:tcW w:w="642" w:type="dxa"/>
            <w:shd w:val="clear" w:color="auto" w:fill="auto"/>
          </w:tcPr>
          <w:p w:rsidR="006B4E98" w:rsidRPr="000053EA" w:rsidRDefault="00044F13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11,5</w:t>
            </w:r>
          </w:p>
        </w:tc>
        <w:tc>
          <w:tcPr>
            <w:tcW w:w="642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5,7</w:t>
            </w:r>
          </w:p>
        </w:tc>
        <w:tc>
          <w:tcPr>
            <w:tcW w:w="643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2058" w:type="dxa"/>
            <w:shd w:val="clear" w:color="auto" w:fill="auto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 xml:space="preserve">приказом Федеральной службы государственной статистики </w:t>
            </w:r>
            <w:r w:rsidR="00E235C5">
              <w:rPr>
                <w:rFonts w:eastAsia="Courier New"/>
                <w:sz w:val="22"/>
                <w:szCs w:val="22"/>
              </w:rPr>
              <w:br/>
            </w:r>
            <w:r w:rsidRPr="001C656B">
              <w:rPr>
                <w:rFonts w:eastAsia="Courier New"/>
                <w:sz w:val="22"/>
                <w:szCs w:val="22"/>
              </w:rPr>
              <w:t>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hyperlink r:id="rId11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</w:t>
            </w:r>
            <w:r w:rsidR="00583AAB">
              <w:rPr>
                <w:rFonts w:eastAsia="Courier New"/>
                <w:sz w:val="22"/>
                <w:szCs w:val="22"/>
              </w:rPr>
              <w:br/>
            </w:r>
            <w:r w:rsidRPr="00590DDA">
              <w:rPr>
                <w:rFonts w:eastAsia="Courier New"/>
                <w:sz w:val="22"/>
                <w:szCs w:val="22"/>
              </w:rPr>
              <w:t>от 17 июля 2015 года № 324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</w:t>
            </w:r>
            <w:r w:rsidRPr="00590DDA">
              <w:lastRenderedPageBreak/>
              <w:t>таковым до 1 января 2017 года, тыс. м</w:t>
            </w:r>
            <w:proofErr w:type="gramStart"/>
            <w:r w:rsidRPr="00590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2,2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</w:t>
            </w:r>
            <w:r w:rsidR="002364D2">
              <w:rPr>
                <w:sz w:val="22"/>
                <w:szCs w:val="22"/>
              </w:rPr>
              <w:t>,0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0,3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</w:t>
            </w:r>
            <w:r w:rsidR="006B4E98" w:rsidRPr="002364D2">
              <w:rPr>
                <w:sz w:val="22"/>
                <w:szCs w:val="22"/>
              </w:rPr>
              <w:t>,0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149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59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39</w:t>
            </w:r>
            <w:r w:rsidR="006B4E98" w:rsidRPr="002364D2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E235C5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E235C5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E235C5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9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096"/>
        <w:gridCol w:w="1577"/>
        <w:gridCol w:w="2470"/>
        <w:gridCol w:w="1134"/>
        <w:gridCol w:w="992"/>
        <w:gridCol w:w="1054"/>
        <w:gridCol w:w="921"/>
        <w:gridCol w:w="920"/>
        <w:gridCol w:w="920"/>
      </w:tblGrid>
      <w:tr w:rsidR="006B4E98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bookmarkStart w:id="4" w:name="_Hlk54535296"/>
            <w:r w:rsidRPr="00D61141">
              <w:t xml:space="preserve">Номер основного </w:t>
            </w:r>
            <w:proofErr w:type="spellStart"/>
            <w:proofErr w:type="gramStart"/>
            <w:r w:rsidRPr="00D61141">
              <w:t>мероприя-тия</w:t>
            </w:r>
            <w:proofErr w:type="spellEnd"/>
            <w:proofErr w:type="gramEnd"/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941" w:type="dxa"/>
            <w:gridSpan w:val="6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Финансовые затраты на реализацию</w:t>
            </w:r>
          </w:p>
          <w:p w:rsidR="006B4E98" w:rsidRPr="00D61141" w:rsidRDefault="006B4E98" w:rsidP="00E235C5">
            <w:pPr>
              <w:jc w:val="center"/>
            </w:pPr>
            <w:r w:rsidRPr="00D61141">
              <w:t>(тыс. руб.)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3096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 xml:space="preserve">2022 </w:t>
            </w:r>
          </w:p>
          <w:p w:rsidR="006B4E98" w:rsidRPr="00A60A1F" w:rsidRDefault="006B4E98" w:rsidP="00E235C5">
            <w:pPr>
              <w:jc w:val="center"/>
            </w:pPr>
            <w:r w:rsidRPr="00A60A1F">
              <w:t>год</w:t>
            </w:r>
          </w:p>
        </w:tc>
        <w:tc>
          <w:tcPr>
            <w:tcW w:w="920" w:type="dxa"/>
          </w:tcPr>
          <w:p w:rsidR="006B4E98" w:rsidRDefault="006B4E98" w:rsidP="00E235C5">
            <w:pPr>
              <w:jc w:val="center"/>
            </w:pPr>
            <w:r>
              <w:t xml:space="preserve">2023 </w:t>
            </w:r>
          </w:p>
          <w:p w:rsidR="006B4E98" w:rsidRPr="00A60A1F" w:rsidRDefault="006B4E98" w:rsidP="00E235C5">
            <w:pPr>
              <w:jc w:val="center"/>
            </w:pPr>
            <w:r>
              <w:t>год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1</w:t>
            </w:r>
          </w:p>
        </w:tc>
        <w:tc>
          <w:tcPr>
            <w:tcW w:w="3096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7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8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>9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>
              <w:t>10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shd w:val="clear" w:color="auto" w:fill="auto"/>
            <w:hideMark/>
          </w:tcPr>
          <w:p w:rsidR="006B4E98" w:rsidRPr="00A60A1F" w:rsidRDefault="006B4E98" w:rsidP="00E235C5">
            <w:r>
              <w:t>Подпрограмма 1</w:t>
            </w:r>
            <w:r w:rsidRPr="00A60A1F">
              <w:t xml:space="preserve"> «Стимулирование жилищного строительства»</w:t>
            </w:r>
          </w:p>
        </w:tc>
        <w:tc>
          <w:tcPr>
            <w:tcW w:w="920" w:type="dxa"/>
          </w:tcPr>
          <w:p w:rsidR="006B4E98" w:rsidRDefault="006B4E98" w:rsidP="00E235C5"/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724403" w:rsidRPr="00AB5BD4" w:rsidRDefault="00724403" w:rsidP="00E235C5">
            <w:pPr>
              <w:jc w:val="center"/>
            </w:pPr>
            <w:r w:rsidRPr="00AB5BD4">
              <w:t>1.1.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352 632,2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74 822,6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320 895,3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68 088,6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797,8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25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815,5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t>1.2.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539 070,6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261 261,0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490 554,2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237 747,5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47 797,8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25 815,5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pPr>
              <w:jc w:val="center"/>
            </w:pPr>
            <w:r w:rsidRPr="00AB5BD4">
              <w:t>2.1.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Default="00EF3C53" w:rsidP="00E235C5">
            <w:r w:rsidRPr="00AB5BD4">
              <w:t xml:space="preserve">Основное мероприятие: </w:t>
            </w:r>
            <w:r>
              <w:t>п</w:t>
            </w:r>
            <w:r w:rsidRPr="00AB5BD4">
              <w:t xml:space="preserve">редоставление субсидий молодым семьям на строительство жилых помещений </w:t>
            </w:r>
            <w:proofErr w:type="gramStart"/>
            <w:r w:rsidRPr="00AB5BD4">
              <w:t>в</w:t>
            </w:r>
            <w:proofErr w:type="gramEnd"/>
            <w:r w:rsidRPr="00AB5BD4">
              <w:t xml:space="preserve"> </w:t>
            </w:r>
            <w:proofErr w:type="gramStart"/>
            <w:r w:rsidRPr="00AB5BD4">
              <w:t>Ханты-Мансийском</w:t>
            </w:r>
            <w:proofErr w:type="gramEnd"/>
            <w:r w:rsidRPr="00AB5BD4">
              <w:t xml:space="preserve"> районе </w:t>
            </w:r>
          </w:p>
          <w:p w:rsidR="00EF3C53" w:rsidRPr="00AB5BD4" w:rsidRDefault="00EF3C53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284347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pPr>
              <w:jc w:val="center"/>
            </w:pPr>
            <w:r w:rsidRPr="00284347">
              <w:t>2.2.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proofErr w:type="gramStart"/>
            <w:r w:rsidRPr="00284347">
              <w:t xml:space="preserve">Основное мероприятие: </w:t>
            </w:r>
            <w:r>
              <w:t>п</w:t>
            </w:r>
            <w:r w:rsidRPr="00284347">
              <w:t xml:space="preserve"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284347">
              <w:t>софинансирования</w:t>
            </w:r>
            <w:proofErr w:type="spellEnd"/>
            <w:r w:rsidRPr="00284347">
              <w:t xml:space="preserve"> из федерального</w:t>
            </w:r>
            <w:proofErr w:type="gramEnd"/>
            <w:r w:rsidRPr="00284347">
              <w:t>, окружного и местного бюджетов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5 380,3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932,6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1 323,1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1 046,3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4 860,4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842,1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1 198,3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2A6033">
              <w:t xml:space="preserve">средства бюджета района на </w:t>
            </w:r>
            <w:proofErr w:type="spellStart"/>
            <w:r w:rsidRPr="002A6033">
              <w:t>софинансирование</w:t>
            </w:r>
            <w:proofErr w:type="spellEnd"/>
            <w:r w:rsidRPr="002A6033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EF3C53" w:rsidRPr="00F96C5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pPr>
              <w:jc w:val="center"/>
            </w:pPr>
            <w:r w:rsidRPr="00F96C51">
              <w:t>2.3.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t xml:space="preserve">Основное мероприятие: </w:t>
            </w:r>
            <w:r>
              <w:t>р</w:t>
            </w:r>
            <w:r w:rsidRPr="00F96C51">
              <w:t xml:space="preserve">еализация полномочий, </w:t>
            </w:r>
            <w:r w:rsidRPr="00F96C51">
              <w:lastRenderedPageBreak/>
              <w:t xml:space="preserve">указанных в п. 3.1, 3.2 статьи 2 Закона Ханты-Мансийского автономного округа – </w:t>
            </w:r>
            <w:proofErr w:type="spellStart"/>
            <w:r w:rsidRPr="00F96C51">
              <w:t>Югры</w:t>
            </w:r>
            <w:proofErr w:type="spellEnd"/>
            <w:r w:rsidRPr="00F96C51">
              <w:t xml:space="preserve"> </w:t>
            </w:r>
          </w:p>
          <w:p w:rsidR="00EF3C53" w:rsidRDefault="00EF3C53" w:rsidP="00E235C5">
            <w:r w:rsidRPr="00F96C51">
              <w:t xml:space="preserve">от 31 марта 2009 года № 36-оз </w:t>
            </w:r>
          </w:p>
          <w:p w:rsidR="00EF3C53" w:rsidRPr="00F96C51" w:rsidRDefault="00EF3C53" w:rsidP="00E235C5">
            <w:r w:rsidRPr="00F96C51"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F96C51">
              <w:t>Югры</w:t>
            </w:r>
            <w:proofErr w:type="spellEnd"/>
            <w:r w:rsidRPr="00F96C51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 xml:space="preserve">департамент имущественных </w:t>
            </w:r>
            <w:r w:rsidRPr="00F96C51">
              <w:lastRenderedPageBreak/>
              <w:t>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 xml:space="preserve">бюджет автономного </w:t>
            </w:r>
            <w:r w:rsidRPr="00AB5BD4"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lastRenderedPageBreak/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83AAB">
            <w:r w:rsidRPr="00AB5BD4">
              <w:t xml:space="preserve">Основное мероприятие: </w:t>
            </w:r>
            <w:proofErr w:type="gramStart"/>
            <w:r w:rsidRPr="00AB5BD4">
              <w:t xml:space="preserve">Предоставление субсидий отдельным категориям граждан, установленным федеральными законами от 12 января 1995 года </w:t>
            </w:r>
            <w:r w:rsidR="00583AAB">
              <w:br/>
            </w:r>
            <w:r w:rsidRPr="00AB5BD4">
              <w:t xml:space="preserve">№ 5-ФЗ «О ветеранах» и </w:t>
            </w:r>
            <w:r w:rsidR="00583AAB">
              <w:br/>
            </w:r>
            <w:r w:rsidRPr="00AB5BD4">
              <w:t xml:space="preserve">от 24 ноября 1995 года № 181-ФЗ </w:t>
            </w:r>
            <w:r w:rsidR="00583AAB">
              <w:br/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  <w:r>
              <w:t>2.5.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Default="0088233A" w:rsidP="00E235C5">
            <w:r w:rsidRPr="005B45E5">
              <w:t>Основное мероприятие "Улучшение жилищных условий граждан, проживающих на сельских территориях</w:t>
            </w:r>
          </w:p>
          <w:p w:rsidR="0088233A" w:rsidRPr="00AB5BD4" w:rsidRDefault="0088233A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5B45E5" w:rsidRDefault="0088233A" w:rsidP="00E235C5">
            <w:r w:rsidRPr="005B45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 xml:space="preserve">средства бюджета района на </w:t>
            </w:r>
            <w:proofErr w:type="spellStart"/>
            <w:r w:rsidRPr="005B45E5">
              <w:t>софинансирование</w:t>
            </w:r>
            <w:proofErr w:type="spellEnd"/>
            <w:r w:rsidRPr="005B45E5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9 534,0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3 245,5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2 285,4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1 992,0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2 011,1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2 008,7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3 989,6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859,4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1 215,6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565,8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>
              <w:t xml:space="preserve">Всего </w:t>
            </w:r>
            <w:r w:rsidRPr="00AB5BD4">
              <w:t>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AB5BD4" w:rsidRDefault="00AA27E1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bookmarkEnd w:id="4"/>
    </w:tbl>
    <w:p w:rsidR="00011D72" w:rsidRPr="00A352D3" w:rsidRDefault="00011D72" w:rsidP="00E235C5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E235C5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Default="00EF769C" w:rsidP="00E235C5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2A6033">
        <w:trPr>
          <w:trHeight w:val="224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№ </w:t>
            </w:r>
            <w:proofErr w:type="spellStart"/>
            <w:proofErr w:type="gramStart"/>
            <w:r w:rsidRPr="003B597C">
              <w:t>п</w:t>
            </w:r>
            <w:proofErr w:type="spellEnd"/>
            <w:proofErr w:type="gramEnd"/>
            <w:r w:rsidRPr="003B597C">
              <w:t>/</w:t>
            </w:r>
            <w:proofErr w:type="spellStart"/>
            <w:r w:rsidRPr="003B597C">
              <w:t>п</w:t>
            </w:r>
            <w:proofErr w:type="spellEnd"/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2A6033">
        <w:trPr>
          <w:trHeight w:val="224"/>
        </w:trPr>
        <w:tc>
          <w:tcPr>
            <w:tcW w:w="279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2A6033">
        <w:trPr>
          <w:trHeight w:val="224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2A6033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2A6033" w:rsidRPr="003B597C" w:rsidTr="00583AAB">
        <w:trPr>
          <w:trHeight w:val="243"/>
        </w:trPr>
        <w:tc>
          <w:tcPr>
            <w:tcW w:w="279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 xml:space="preserve">Основное мероприятие: Федеральный проект </w:t>
            </w:r>
            <w:r w:rsidRPr="00AB5BD4">
              <w:lastRenderedPageBreak/>
              <w:t>«Обеспечение устойчивого сокращения непригодного для проживания жилищного фонда»</w:t>
            </w:r>
          </w:p>
          <w:p w:rsidR="002A6033" w:rsidRPr="003B597C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31.12.2019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lastRenderedPageBreak/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E235C5">
      <w:pPr>
        <w:contextualSpacing/>
        <w:jc w:val="center"/>
        <w:rPr>
          <w:sz w:val="28"/>
          <w:szCs w:val="28"/>
        </w:r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"/>
        <w:gridCol w:w="2527"/>
        <w:gridCol w:w="4070"/>
        <w:gridCol w:w="602"/>
        <w:gridCol w:w="602"/>
        <w:gridCol w:w="602"/>
        <w:gridCol w:w="670"/>
        <w:gridCol w:w="670"/>
        <w:gridCol w:w="3927"/>
      </w:tblGrid>
      <w:tr w:rsidR="00011D72" w:rsidRPr="00EB40D0" w:rsidTr="00C52645">
        <w:trPr>
          <w:trHeight w:val="554"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C52645" w:rsidRPr="00EB40D0" w:rsidTr="00C52645">
        <w:trPr>
          <w:trHeight w:val="149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</w:pP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9</w:t>
            </w: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E235C5">
      <w:pPr>
        <w:pStyle w:val="ConsPlusNormal"/>
        <w:jc w:val="both"/>
        <w:rPr>
          <w:sz w:val="24"/>
          <w:szCs w:val="24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0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4961"/>
        <w:gridCol w:w="2075"/>
        <w:gridCol w:w="3410"/>
        <w:gridCol w:w="2964"/>
      </w:tblGrid>
      <w:tr w:rsidR="00011D72" w:rsidRPr="00950EC9" w:rsidTr="00583AAB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E235C5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E235C5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E235C5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E235C5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E235C5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E235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 xml:space="preserve">исполнительных органов государственной власти </w:t>
      </w:r>
      <w:proofErr w:type="gramStart"/>
      <w:r w:rsidRPr="00867338">
        <w:rPr>
          <w:sz w:val="28"/>
          <w:szCs w:val="28"/>
        </w:rPr>
        <w:t>автономного</w:t>
      </w:r>
      <w:proofErr w:type="gramEnd"/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583AAB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6733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67338">
              <w:rPr>
                <w:sz w:val="18"/>
                <w:szCs w:val="18"/>
              </w:rPr>
              <w:t>/</w:t>
            </w:r>
            <w:proofErr w:type="spellStart"/>
            <w:r w:rsidRPr="0086733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583AAB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583AAB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2524" w:rsidRDefault="00D13675" w:rsidP="00E235C5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 xml:space="preserve">Показатели </w:t>
      </w:r>
      <w:proofErr w:type="gramStart"/>
      <w:r w:rsidRPr="00A352D3">
        <w:rPr>
          <w:color w:val="000000"/>
          <w:sz w:val="22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352D3">
        <w:rPr>
          <w:color w:val="000000"/>
          <w:sz w:val="22"/>
          <w:szCs w:val="28"/>
        </w:rPr>
        <w:t xml:space="preserve"> Ханты-Мансийского автономного округа – </w:t>
      </w:r>
      <w:proofErr w:type="spellStart"/>
      <w:r w:rsidRPr="00A352D3">
        <w:rPr>
          <w:color w:val="000000"/>
          <w:sz w:val="22"/>
          <w:szCs w:val="28"/>
        </w:rPr>
        <w:t>Югры</w:t>
      </w:r>
      <w:proofErr w:type="spellEnd"/>
      <w:r w:rsidRPr="00A352D3">
        <w:rPr>
          <w:color w:val="000000"/>
          <w:sz w:val="22"/>
          <w:szCs w:val="28"/>
        </w:rPr>
        <w:t xml:space="preserve"> на 2019 – 2024 годы в муниципальной программе отсутствуют.</w:t>
      </w:r>
    </w:p>
    <w:p w:rsidR="0027393B" w:rsidRPr="00583AAB" w:rsidRDefault="0027393B" w:rsidP="00E235C5">
      <w:pPr>
        <w:ind w:firstLine="709"/>
        <w:jc w:val="right"/>
        <w:rPr>
          <w:sz w:val="28"/>
          <w:szCs w:val="28"/>
        </w:rPr>
      </w:pPr>
      <w:r w:rsidRPr="00583AAB">
        <w:rPr>
          <w:color w:val="000000"/>
          <w:sz w:val="28"/>
          <w:szCs w:val="28"/>
        </w:rPr>
        <w:t>.»</w:t>
      </w:r>
      <w:r w:rsidR="00583AAB" w:rsidRPr="00583AAB">
        <w:rPr>
          <w:color w:val="000000"/>
          <w:sz w:val="28"/>
          <w:szCs w:val="28"/>
        </w:rPr>
        <w:t>.</w:t>
      </w: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  <w:sectPr w:rsidR="0027393B" w:rsidSect="00E235C5">
          <w:headerReference w:type="default" r:id="rId12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:rsidR="007F2299" w:rsidRPr="009A7B06" w:rsidRDefault="007F2299" w:rsidP="00E235C5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>2.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11D72" w:rsidRDefault="00D52369" w:rsidP="00E235C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11D72">
        <w:rPr>
          <w:b w:val="0"/>
        </w:rPr>
        <w:t xml:space="preserve">. </w:t>
      </w:r>
      <w:proofErr w:type="gramStart"/>
      <w:r w:rsidR="00011D72">
        <w:rPr>
          <w:b w:val="0"/>
        </w:rPr>
        <w:t>Контроль за</w:t>
      </w:r>
      <w:proofErr w:type="gramEnd"/>
      <w:r w:rsidR="00011D72">
        <w:rPr>
          <w:b w:val="0"/>
        </w:rPr>
        <w:t xml:space="preserve">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011D72" w:rsidRDefault="00011D72" w:rsidP="00E235C5">
      <w:pPr>
        <w:rPr>
          <w:sz w:val="28"/>
          <w:szCs w:val="28"/>
        </w:rPr>
      </w:pPr>
    </w:p>
    <w:p w:rsidR="00583AAB" w:rsidRDefault="00583AAB" w:rsidP="00E235C5">
      <w:pPr>
        <w:rPr>
          <w:sz w:val="28"/>
          <w:szCs w:val="28"/>
        </w:rPr>
      </w:pPr>
    </w:p>
    <w:p w:rsidR="00011D72" w:rsidRDefault="00011D72" w:rsidP="00E235C5">
      <w:pPr>
        <w:rPr>
          <w:sz w:val="28"/>
          <w:szCs w:val="28"/>
        </w:rPr>
      </w:pPr>
    </w:p>
    <w:p w:rsidR="00011D72" w:rsidRDefault="00011D72" w:rsidP="00583AA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5D7632" w:rsidRDefault="005D7632" w:rsidP="00583AAB">
      <w:pPr>
        <w:pStyle w:val="ConsPlusNormal"/>
        <w:jc w:val="center"/>
        <w:outlineLvl w:val="2"/>
        <w:rPr>
          <w:sz w:val="28"/>
          <w:szCs w:val="28"/>
        </w:rPr>
      </w:pPr>
    </w:p>
    <w:sectPr w:rsidR="005D7632" w:rsidSect="00E235C5">
      <w:pgSz w:w="11905" w:h="16838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5D" w:rsidRDefault="00F0065D" w:rsidP="007C7827">
      <w:r>
        <w:separator/>
      </w:r>
    </w:p>
  </w:endnote>
  <w:endnote w:type="continuationSeparator" w:id="0">
    <w:p w:rsidR="00F0065D" w:rsidRDefault="00F0065D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5D" w:rsidRDefault="00F0065D" w:rsidP="007C7827">
      <w:r>
        <w:separator/>
      </w:r>
    </w:p>
  </w:footnote>
  <w:footnote w:type="continuationSeparator" w:id="0">
    <w:p w:rsidR="00F0065D" w:rsidRDefault="00F0065D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5" w:rsidRPr="0045468D" w:rsidRDefault="00E3455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E235C5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A417B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5" w:rsidRPr="0045468D" w:rsidRDefault="00E34554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E235C5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A417B">
      <w:rPr>
        <w:noProof/>
        <w:sz w:val="26"/>
        <w:szCs w:val="26"/>
      </w:rPr>
      <w:t>11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A34AFCE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9A1B9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E044F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0CDEF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3EC430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C81CF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187E0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2ED75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6663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5342675A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5342675A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CC6E0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2BC8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9EAD9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31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CE094E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32F3B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F47F64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AC33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5342675A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CC6E0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2BC8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9EAD9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31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CE094E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32F3B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F47F64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AC33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5342675A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CC6E0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2BC8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9EAD9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31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CE094E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32F3B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F47F64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AC33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51C1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5345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143C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759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53F5"/>
    <w:rsid w:val="001A68BE"/>
    <w:rsid w:val="001B1384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242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8E7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393B"/>
    <w:rsid w:val="00274D22"/>
    <w:rsid w:val="00275ED8"/>
    <w:rsid w:val="0027612D"/>
    <w:rsid w:val="00283BA4"/>
    <w:rsid w:val="00284347"/>
    <w:rsid w:val="00285884"/>
    <w:rsid w:val="00286121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282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42F8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4E0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C2E5B"/>
    <w:rsid w:val="003D00D1"/>
    <w:rsid w:val="003D0A7C"/>
    <w:rsid w:val="003D15F5"/>
    <w:rsid w:val="003D1703"/>
    <w:rsid w:val="003D48E7"/>
    <w:rsid w:val="003D5A3B"/>
    <w:rsid w:val="003E15E6"/>
    <w:rsid w:val="003E23F5"/>
    <w:rsid w:val="003E52F8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50ED8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4463"/>
    <w:rsid w:val="00474FFB"/>
    <w:rsid w:val="00481FBD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E8"/>
    <w:rsid w:val="005207F6"/>
    <w:rsid w:val="005219CE"/>
    <w:rsid w:val="0052202F"/>
    <w:rsid w:val="00523E04"/>
    <w:rsid w:val="00523ED6"/>
    <w:rsid w:val="005256AD"/>
    <w:rsid w:val="00532FCC"/>
    <w:rsid w:val="005333FB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639"/>
    <w:rsid w:val="00581958"/>
    <w:rsid w:val="005823B3"/>
    <w:rsid w:val="00583AAB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4BAD"/>
    <w:rsid w:val="005B5068"/>
    <w:rsid w:val="005C18B4"/>
    <w:rsid w:val="005C6AF8"/>
    <w:rsid w:val="005C7F24"/>
    <w:rsid w:val="005D0D4E"/>
    <w:rsid w:val="005D1FBC"/>
    <w:rsid w:val="005D201A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A5374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07C9B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17B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DD"/>
    <w:rsid w:val="00A84D91"/>
    <w:rsid w:val="00A87159"/>
    <w:rsid w:val="00A90B9B"/>
    <w:rsid w:val="00A931B2"/>
    <w:rsid w:val="00A93A19"/>
    <w:rsid w:val="00A96686"/>
    <w:rsid w:val="00A96D48"/>
    <w:rsid w:val="00A97CF9"/>
    <w:rsid w:val="00AA048C"/>
    <w:rsid w:val="00AA0A72"/>
    <w:rsid w:val="00AA1C10"/>
    <w:rsid w:val="00AA20CD"/>
    <w:rsid w:val="00AA27E1"/>
    <w:rsid w:val="00AA3D3D"/>
    <w:rsid w:val="00AA424F"/>
    <w:rsid w:val="00AA4C3C"/>
    <w:rsid w:val="00AA75F9"/>
    <w:rsid w:val="00AB0958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6AA"/>
    <w:rsid w:val="00BE6CB9"/>
    <w:rsid w:val="00BE7CDD"/>
    <w:rsid w:val="00BF1CD3"/>
    <w:rsid w:val="00BF3C1E"/>
    <w:rsid w:val="00BF3FA6"/>
    <w:rsid w:val="00BF5B55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0ECE"/>
    <w:rsid w:val="00C51A00"/>
    <w:rsid w:val="00C52645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5A5C"/>
    <w:rsid w:val="00C865AE"/>
    <w:rsid w:val="00C91AF0"/>
    <w:rsid w:val="00C92157"/>
    <w:rsid w:val="00C93E7E"/>
    <w:rsid w:val="00C949FF"/>
    <w:rsid w:val="00C94D0B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16AB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2369"/>
    <w:rsid w:val="00D56943"/>
    <w:rsid w:val="00D56B05"/>
    <w:rsid w:val="00D56B4E"/>
    <w:rsid w:val="00D57093"/>
    <w:rsid w:val="00D57EB8"/>
    <w:rsid w:val="00D61141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35C5"/>
    <w:rsid w:val="00E265A0"/>
    <w:rsid w:val="00E31620"/>
    <w:rsid w:val="00E3389B"/>
    <w:rsid w:val="00E34554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38E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B68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65D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298E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C2B7-818F-4C88-8202-6AE946B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2</cp:revision>
  <cp:lastPrinted>2020-12-02T05:26:00Z</cp:lastPrinted>
  <dcterms:created xsi:type="dcterms:W3CDTF">2021-01-15T06:03:00Z</dcterms:created>
  <dcterms:modified xsi:type="dcterms:W3CDTF">2021-01-15T06:03:00Z</dcterms:modified>
</cp:coreProperties>
</file>