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5BE3" w14:textId="0BC9636B" w:rsidR="0074743D" w:rsidRPr="00362EA9" w:rsidRDefault="00964AA3" w:rsidP="00964AA3">
      <w:pPr>
        <w:jc w:val="center"/>
        <w:rPr>
          <w:b/>
          <w:bCs/>
        </w:rPr>
      </w:pPr>
      <w:r w:rsidRPr="00362EA9">
        <w:rPr>
          <w:b/>
          <w:bCs/>
        </w:rPr>
        <w:t xml:space="preserve">Порядок и размер начисления за </w:t>
      </w:r>
      <w:r w:rsidR="00944ACF">
        <w:rPr>
          <w:b/>
          <w:bCs/>
        </w:rPr>
        <w:t>жилищно-</w:t>
      </w:r>
      <w:r w:rsidRPr="00362EA9">
        <w:rPr>
          <w:b/>
          <w:bCs/>
        </w:rPr>
        <w:t>коммунальные услуги</w:t>
      </w:r>
    </w:p>
    <w:p w14:paraId="6A270BE5" w14:textId="608CAF40" w:rsidR="001B34BE" w:rsidRDefault="001B34BE" w:rsidP="003F7023">
      <w:pPr>
        <w:spacing w:after="0" w:line="276" w:lineRule="auto"/>
        <w:ind w:firstLine="567"/>
        <w:jc w:val="both"/>
        <w:rPr>
          <w:rStyle w:val="titlerazdel"/>
        </w:rPr>
      </w:pPr>
      <w:r w:rsidRPr="00B9515B">
        <w:rPr>
          <w:rStyle w:val="titlerazdel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14:paraId="7A0D45A2" w14:textId="2F9784CE" w:rsidR="00A170A3" w:rsidRDefault="00944ACF" w:rsidP="00A17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hyperlink r:id="rId4" w:history="1">
        <w:r w:rsidR="00A170A3">
          <w:rPr>
            <w:color w:val="0000FF"/>
            <w:szCs w:val="28"/>
          </w:rPr>
          <w:t>Правила</w:t>
        </w:r>
      </w:hyperlink>
      <w:r w:rsidR="00A170A3">
        <w:rPr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 утверждены постановлением Правительства Российской Федерации от 06.05.2011 № 354.</w:t>
      </w:r>
    </w:p>
    <w:p w14:paraId="088CF508" w14:textId="01394948" w:rsidR="00B708F0" w:rsidRPr="00B9515B" w:rsidRDefault="00C949B2" w:rsidP="003F7023">
      <w:pPr>
        <w:spacing w:after="0" w:line="276" w:lineRule="auto"/>
        <w:ind w:firstLine="567"/>
        <w:jc w:val="both"/>
        <w:rPr>
          <w:rStyle w:val="titlerazdel"/>
        </w:rPr>
      </w:pPr>
      <w:r w:rsidRPr="00B9515B">
        <w:rPr>
          <w:rStyle w:val="titlerazdel"/>
        </w:rPr>
        <w:t xml:space="preserve">Тарифы </w:t>
      </w:r>
      <w:r w:rsidR="00676500" w:rsidRPr="00B9515B">
        <w:rPr>
          <w:rStyle w:val="titlerazdel"/>
        </w:rPr>
        <w:t>на коммунальные услуги,</w:t>
      </w:r>
      <w:r w:rsidRPr="00B9515B">
        <w:rPr>
          <w:rStyle w:val="titlerazdel"/>
        </w:rPr>
        <w:t xml:space="preserve"> оказываемые на территории </w:t>
      </w:r>
      <w:r w:rsidR="00676500" w:rsidRPr="00B9515B">
        <w:rPr>
          <w:rStyle w:val="titlerazdel"/>
        </w:rPr>
        <w:t>Ханты-Мансийского района,</w:t>
      </w:r>
      <w:r w:rsidRPr="00B9515B">
        <w:rPr>
          <w:rStyle w:val="titlerazdel"/>
        </w:rPr>
        <w:t xml:space="preserve"> </w:t>
      </w:r>
      <w:r w:rsidR="00676500" w:rsidRPr="00B9515B">
        <w:rPr>
          <w:rStyle w:val="titlerazdel"/>
          <w:szCs w:val="28"/>
        </w:rPr>
        <w:t>в соответствии с полномочиями, утвержденными постановлением Правительства Ханты-Мансийского автономного округа – Югры от 14.04.2012 № 137-п,</w:t>
      </w:r>
      <w:r w:rsidR="00676500" w:rsidRPr="00B9515B">
        <w:rPr>
          <w:rStyle w:val="titlerazdel"/>
        </w:rPr>
        <w:t xml:space="preserve"> устанавливаются Региональной</w:t>
      </w:r>
      <w:r w:rsidRPr="00B9515B">
        <w:rPr>
          <w:rStyle w:val="titlerazdel"/>
        </w:rPr>
        <w:t xml:space="preserve"> службой по тарифам Ханты-Мансийского автономного округа </w:t>
      </w:r>
      <w:r w:rsidR="00676500" w:rsidRPr="00B9515B">
        <w:rPr>
          <w:rStyle w:val="titlerazdel"/>
        </w:rPr>
        <w:t>–</w:t>
      </w:r>
      <w:r w:rsidRPr="00B9515B">
        <w:rPr>
          <w:rStyle w:val="titlerazdel"/>
        </w:rPr>
        <w:t xml:space="preserve"> Югры</w:t>
      </w:r>
      <w:r w:rsidR="00676500" w:rsidRPr="00B9515B">
        <w:rPr>
          <w:rStyle w:val="titlerazdel"/>
        </w:rPr>
        <w:t xml:space="preserve"> (далее – РСТ Югры).</w:t>
      </w:r>
    </w:p>
    <w:p w14:paraId="3B7F66E0" w14:textId="77777777" w:rsidR="002A59CF" w:rsidRPr="00B9515B" w:rsidRDefault="002A59CF" w:rsidP="003F7023">
      <w:pPr>
        <w:spacing w:after="0" w:line="276" w:lineRule="auto"/>
        <w:ind w:firstLine="567"/>
        <w:jc w:val="both"/>
        <w:rPr>
          <w:rStyle w:val="titlerazdel"/>
          <w:szCs w:val="28"/>
        </w:rPr>
      </w:pPr>
      <w:r w:rsidRPr="00B9515B">
        <w:rPr>
          <w:rStyle w:val="titlerazdel"/>
          <w:szCs w:val="28"/>
        </w:rPr>
        <w:t>Для информирования граждан на официальном сайте РСТ Югры –</w:t>
      </w:r>
      <w:hyperlink r:id="rId5" w:history="1">
        <w:r w:rsidRPr="00B9515B">
          <w:rPr>
            <w:rStyle w:val="a3"/>
            <w:szCs w:val="28"/>
          </w:rPr>
          <w:t>https://rst.admhmao.ru/</w:t>
        </w:r>
      </w:hyperlink>
      <w:r w:rsidRPr="00B9515B">
        <w:rPr>
          <w:rStyle w:val="titlerazdel"/>
          <w:szCs w:val="28"/>
        </w:rPr>
        <w:t xml:space="preserve"> размещается информация:</w:t>
      </w:r>
    </w:p>
    <w:p w14:paraId="219A7253" w14:textId="7E3743A5" w:rsidR="002A59CF" w:rsidRPr="00B9515B" w:rsidRDefault="002A59CF" w:rsidP="003F7023">
      <w:pPr>
        <w:spacing w:after="0" w:line="276" w:lineRule="auto"/>
        <w:ind w:firstLine="567"/>
        <w:jc w:val="both"/>
        <w:rPr>
          <w:rStyle w:val="titlerazdel"/>
          <w:szCs w:val="28"/>
        </w:rPr>
      </w:pPr>
      <w:r w:rsidRPr="00B9515B">
        <w:rPr>
          <w:rStyle w:val="titlerazdel"/>
          <w:szCs w:val="28"/>
        </w:rPr>
        <w:t>об установленных РСТ Югры тарифах на коммунальные услуги</w:t>
      </w:r>
      <w:r w:rsidR="001F5105">
        <w:rPr>
          <w:rStyle w:val="titlerazdel"/>
          <w:szCs w:val="28"/>
        </w:rPr>
        <w:t>;</w:t>
      </w:r>
    </w:p>
    <w:p w14:paraId="3D20908D" w14:textId="292AFD4A" w:rsidR="002A59CF" w:rsidRPr="00B9515B" w:rsidRDefault="002A59CF" w:rsidP="003F7023">
      <w:pPr>
        <w:spacing w:after="0" w:line="276" w:lineRule="auto"/>
        <w:ind w:firstLine="567"/>
        <w:jc w:val="both"/>
        <w:rPr>
          <w:rStyle w:val="titlerazdel"/>
          <w:szCs w:val="28"/>
        </w:rPr>
      </w:pPr>
      <w:r w:rsidRPr="00B9515B">
        <w:rPr>
          <w:rStyle w:val="titlerazdel"/>
          <w:szCs w:val="28"/>
        </w:rPr>
        <w:t>о принятых РСТ Югры приказах</w:t>
      </w:r>
      <w:r w:rsidR="001F5105">
        <w:rPr>
          <w:rStyle w:val="titlerazdel"/>
          <w:szCs w:val="28"/>
        </w:rPr>
        <w:t>;</w:t>
      </w:r>
    </w:p>
    <w:p w14:paraId="2556461E" w14:textId="7143CC88" w:rsidR="002A59CF" w:rsidRPr="00B9515B" w:rsidRDefault="002A59CF" w:rsidP="003F7023">
      <w:pPr>
        <w:spacing w:after="0" w:line="276" w:lineRule="auto"/>
        <w:ind w:firstLine="567"/>
        <w:jc w:val="both"/>
        <w:rPr>
          <w:rStyle w:val="titlerazdel"/>
          <w:szCs w:val="28"/>
        </w:rPr>
      </w:pPr>
      <w:r w:rsidRPr="00B9515B">
        <w:rPr>
          <w:rStyle w:val="titlerazdel"/>
          <w:szCs w:val="28"/>
        </w:rPr>
        <w:t>о законодательстве, которым руководствуется РСТ Югры при регулировании тарифов</w:t>
      </w:r>
      <w:r w:rsidR="001F5105">
        <w:rPr>
          <w:rStyle w:val="titlerazdel"/>
          <w:szCs w:val="28"/>
        </w:rPr>
        <w:t>;</w:t>
      </w:r>
    </w:p>
    <w:p w14:paraId="79CCBF04" w14:textId="0A44C56C" w:rsidR="002A59CF" w:rsidRDefault="002A59CF" w:rsidP="003F7023">
      <w:pPr>
        <w:spacing w:after="0" w:line="276" w:lineRule="auto"/>
        <w:ind w:firstLine="567"/>
        <w:jc w:val="both"/>
        <w:rPr>
          <w:szCs w:val="28"/>
        </w:rPr>
      </w:pPr>
      <w:r w:rsidRPr="00B9515B">
        <w:rPr>
          <w:szCs w:val="28"/>
        </w:rPr>
        <w:t>о расходах и производственных показателях, принятых в тарифах, отраженных в протоколах заседаний правления</w:t>
      </w:r>
      <w:r w:rsidR="00383776">
        <w:rPr>
          <w:szCs w:val="28"/>
        </w:rPr>
        <w:t>.</w:t>
      </w:r>
    </w:p>
    <w:p w14:paraId="77004527" w14:textId="52D0B269" w:rsidR="001B34BE" w:rsidRDefault="00AC03F1" w:rsidP="003F7023">
      <w:pPr>
        <w:spacing w:after="0" w:line="276" w:lineRule="auto"/>
        <w:ind w:firstLine="567"/>
        <w:jc w:val="both"/>
      </w:pPr>
      <w:r w:rsidRPr="00B9515B">
        <w:t>Также н</w:t>
      </w:r>
      <w:r w:rsidR="001B34BE" w:rsidRPr="00B9515B">
        <w:t>а официальном сайте РСТ Югры размещен  информационный инструмент «Калькулятор коммунальных платежей для граждан»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(</w:t>
      </w:r>
      <w:hyperlink r:id="rId6" w:history="1">
        <w:r w:rsidR="001B34BE" w:rsidRPr="00B9515B">
          <w:rPr>
            <w:rStyle w:val="a3"/>
          </w:rPr>
          <w:t>http://eias.fas.gov.ru/calc_ku/map/</w:t>
        </w:r>
      </w:hyperlink>
      <w:r w:rsidR="001B34BE" w:rsidRPr="00B9515B">
        <w:t>) .</w:t>
      </w:r>
    </w:p>
    <w:p w14:paraId="2B594AA0" w14:textId="1B90A5DB" w:rsidR="00383776" w:rsidRDefault="00383776" w:rsidP="003F7023">
      <w:pPr>
        <w:spacing w:after="0" w:line="276" w:lineRule="auto"/>
        <w:ind w:firstLine="567"/>
        <w:jc w:val="both"/>
      </w:pPr>
    </w:p>
    <w:p w14:paraId="17379236" w14:textId="49F0D851" w:rsidR="00383776" w:rsidRDefault="00383776" w:rsidP="003F7023">
      <w:pPr>
        <w:spacing w:after="0" w:line="276" w:lineRule="auto"/>
        <w:ind w:firstLine="567"/>
        <w:jc w:val="both"/>
      </w:pPr>
    </w:p>
    <w:p w14:paraId="37A765D5" w14:textId="0836C3EF" w:rsidR="00383776" w:rsidRDefault="00383776" w:rsidP="003F7023">
      <w:pPr>
        <w:spacing w:after="0" w:line="276" w:lineRule="auto"/>
        <w:ind w:firstLine="567"/>
        <w:jc w:val="both"/>
      </w:pPr>
    </w:p>
    <w:p w14:paraId="38074DAA" w14:textId="0B3B422F" w:rsidR="00EB4218" w:rsidRDefault="00EB4218" w:rsidP="003F7023">
      <w:pPr>
        <w:spacing w:after="0" w:line="276" w:lineRule="auto"/>
        <w:ind w:firstLine="567"/>
        <w:jc w:val="both"/>
      </w:pPr>
    </w:p>
    <w:p w14:paraId="7B66CD3A" w14:textId="31DC2734" w:rsidR="00EB4218" w:rsidRDefault="00EB4218" w:rsidP="003F7023">
      <w:pPr>
        <w:spacing w:after="0" w:line="276" w:lineRule="auto"/>
        <w:ind w:firstLine="567"/>
        <w:jc w:val="both"/>
      </w:pPr>
    </w:p>
    <w:p w14:paraId="39F31643" w14:textId="77777777" w:rsidR="00A170A3" w:rsidRDefault="003044AC" w:rsidP="00A170A3">
      <w:r w:rsidRPr="005D702A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60C7244" wp14:editId="5F3BF61D">
                <wp:simplePos x="0" y="0"/>
                <wp:positionH relativeFrom="margin">
                  <wp:posOffset>62865</wp:posOffset>
                </wp:positionH>
                <wp:positionV relativeFrom="paragraph">
                  <wp:posOffset>130810</wp:posOffset>
                </wp:positionV>
                <wp:extent cx="5425727" cy="2077724"/>
                <wp:effectExtent l="19050" t="0" r="22860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58" y="684"/>
                            <a:ext cx="4146" cy="778"/>
                            <a:chOff x="58" y="684"/>
                            <a:chExt cx="4146" cy="778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78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469095E" w14:textId="0827BE6E" w:rsidR="003044AC" w:rsidRPr="005D702A" w:rsidRDefault="003044AC" w:rsidP="003044AC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8064A2"/>
                                    <w:sz w:val="22"/>
                                  </w:rPr>
                                  <w:t xml:space="preserve">Размер </w:t>
                                </w:r>
                                <w:r w:rsidRPr="005D702A">
                                  <w:rPr>
                                    <w:b/>
                                    <w:color w:val="8064A2"/>
                                    <w:sz w:val="22"/>
                                  </w:rPr>
                                  <w:t>платеж</w:t>
                                </w:r>
                                <w:r>
                                  <w:rPr>
                                    <w:b/>
                                    <w:color w:val="8064A2"/>
                                    <w:sz w:val="22"/>
                                  </w:rPr>
                                  <w:t>а</w:t>
                                </w:r>
                                <w:r w:rsidRPr="005D702A">
                                  <w:rPr>
                                    <w:b/>
                                    <w:color w:val="8064A2"/>
                                    <w:sz w:val="22"/>
                                  </w:rPr>
                                  <w:t xml:space="preserve">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C990E66" w14:textId="77777777" w:rsidR="003044AC" w:rsidRPr="00435538" w:rsidRDefault="003044AC" w:rsidP="003044AC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vertAlign w:val="subscript"/>
                                    <w:lang w:val="en-US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C00000"/>
                                    <w:sz w:val="22"/>
                                  </w:rPr>
                                  <w:t>Т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0000"/>
                                    <w:sz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</w:p>
                              <w:p w14:paraId="26CA4230" w14:textId="77777777" w:rsidR="003044AC" w:rsidRPr="00D5139A" w:rsidRDefault="003044AC" w:rsidP="003044AC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805" y="1005"/>
                              <a:ext cx="356" cy="182"/>
                              <a:chOff x="1805" y="1003"/>
                              <a:chExt cx="356" cy="177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003"/>
                                <a:ext cx="356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121"/>
                                <a:ext cx="356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C92941D" w14:textId="77777777" w:rsidR="003044AC" w:rsidRPr="005D702A" w:rsidRDefault="003044AC" w:rsidP="003044AC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</w:rPr>
                                  <w:t xml:space="preserve"> </w:t>
                                </w: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(норматив потребления КУ, норматив накопления ТКО)</w:t>
                                </w:r>
                              </w:p>
                              <w:p w14:paraId="4E491937" w14:textId="77777777" w:rsidR="003044AC" w:rsidRDefault="003044AC" w:rsidP="003044AC">
                                <w:pPr>
                                  <w:jc w:val="center"/>
                                </w:pPr>
                              </w:p>
                              <w:p w14:paraId="65593669" w14:textId="77777777" w:rsidR="003044AC" w:rsidRDefault="003044AC" w:rsidP="003044AC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B2D45A7" w14:textId="77777777" w:rsidR="003044AC" w:rsidRPr="00D5139A" w:rsidRDefault="003044AC" w:rsidP="003044AC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0"/>
                                    <w:szCs w:val="20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lang w:val="en-US"/>
                                  </w:rPr>
                                  <w:t>i</w:t>
                                </w:r>
                                <w:r w:rsidRPr="00435538">
                                  <w:rPr>
                                    <w:b/>
                                    <w:color w:val="1F497D"/>
                                    <w:sz w:val="22"/>
                                  </w:rPr>
                                  <w:t xml:space="preserve"> </w:t>
                                </w: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29B21F85" w14:textId="77777777" w:rsidR="003044AC" w:rsidRPr="005D702A" w:rsidRDefault="003044AC" w:rsidP="003044AC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C7244" id="Группа 13" o:spid="_x0000_s1026" style="position:absolute;margin-left:4.95pt;margin-top:10.3pt;width:427.2pt;height:163.6pt;z-index:251667456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QRCQcAAL0oAAAOAAAAZHJzL2Uyb0RvYy54bWzsWttu20YQfS/QfyD4noh3UkLkwJasoEAv&#10;QZOmz2uSEtlQXJakIqdPBfoJ/ZH+QX8h+aOenV3eJDkxbMttUNmAwMteZmdnzpyZ5bPn1+tMexeX&#10;VcrzqW4+NXQtzkMepflqqv/0evEk0LWqZnnEMp7HU/19XOnPz77+6tm2mMQWT3gWxaWGQfJqsi2m&#10;elLXxWQ0qsIkXrPqKS/iHC+XvFyzGrflahSVbIvR19nIMgxvtOVlVJQ8jKsKT+fypX5G4y+XcVj/&#10;sFxWca1lUx2y1fRb0u+V+B2dPWOTVcmKJA2VGOwOUqxZmmPSdqg5q5m2KdO9odZpWPKKL+unIV+P&#10;+HKZhjGtAasxjZ3VvCj5pqC1rCbbVdGqCard0dOdhw2/f/ey1NIIe2frWs7W2KMPf378/eMfH/7G&#10;/18aHkNH22I1QdMXZfGqeFmqByt5p11tv+MR+rFNzUkJ18tyLZSB5WnXpOv3ra7j61oL8dB1LNe3&#10;fF0L8c4yfN+3HLkbYYItE/1c2A5ePjHVNoXJZdPZtMeqp2maotuITeSsIyGqkkzKTTftEprVYma5&#10;WlKydmCVcjux4G95+LYScwy10Bsdg35OCWoxXqBW2ejBMR1PLsX3g8MKaPt0CtjrdeP64VZVZznV&#10;/SznVcKKmAyyEuagdImNU7r8Ef7G8lUWa7TKbUHNhMkIZVZSk1rOZwlaxedlybdJzCJIJTdx0EHc&#10;VOh6Z9WanjdUbaskNinKqn4R87UmLqZ6CcHJdNm7b6ta2lPThETnWRot0iyjm3J1NctK7R0DqFy6&#10;88XlTJlg1W+W5dp2qnu2awB4wnUBH6uBMm9fJ8AKjWUrAGZYlzTtoGPVHz8wPOfcOjT+Oq0BnVm6&#10;nuqBIf6k9QiFXuYR1sAmNUszeY2lZ7l4FBMoqkU2KhamXE3q66trdBOXVzx6D82XXAImAB4XCS9/&#10;07UtwHKqV79uWBnrWvZNjt0bm44j0JVuHPg1bsr+m6v+G5aHGAragBboclZLRN4UZbpKMJNJSsn5&#10;ORBlmdJ+dFKRI5JZS1mPb9/uvn27QtlCJrjBse3bCsYSCX3YM+1rAx6BL0wLGOkZvjKRBnsb6723&#10;gS+s+cX8Qo0+sFNp4Lbpu8ZnjHhmuIYzPzTGUYxYxjMxXWc1J1smrVhARBn3hG8RnmtkVMe0Zal7&#10;C1AInCBTUczAHlsWxfixrWJfY9lWgBdEDQLCtZuhu8g2FY1J0C0gbhWpJbLoF11brjMwOmC15hiu&#10;OVZGqBpj2MZRqGfJCOWFwD+ndUL6EdSFXlZATXmhFRyop6y+j9YLf+whnsPyMPKq6rc2JUaLRwOA&#10;ny+8c6MRS3ShnmqqgtWJJn6AuCr2sskSceg1F7FWsFqEFxFggJrqCliqrsBw5ZWUR4wjh1fLFLLI&#10;qJBzEdxks504IRrxDULNqyTaalEqwqUV2AKSohRz2YhQxhh0qotoB9U3WPTYd3yj0VM7OgnXBijc&#10;CaMUFOBLc2TFQIXYxJsborRDOmnXd0mlyCEeinSagYHYhfgA46OIhfivKLTtKm5kwtOw8WzS8u5+&#10;L+LF4t3lXj9/GHJ2ifdjEE/YoASzjnjKZOGoaLbM0uJNQ1IUkh3Q2Z6mHdqCm5HscyQUaeoJnU7o&#10;9EVQZqTne55JOd6/6JmmRRIcwEC3ib93ZM8nzwSqnTzznp7ZRVCiPgMSQZxgl0+YbfyTRSyTIvkx&#10;CYXljyVhb4tyTZSzwK4VY1cluR6j2O/WEYr9jm2E7BTSUMCj5/pIEPaBSxUHHyfZv1nDdqAoG2qn&#10;KsW4I14N0vgBMZ958/GiqagOmsls37R8ZBuUxPRrXYMxnEVgXhzM9kWuNWdVIktnEa4k9TxeFUB5&#10;xKmiJUtVTSKChHEvPD9mybYFBFS/VfqxDyQeivwyJT2ZeX1jxZbKOi1CnQq3/YMJ84CZP2bl1rFR&#10;1xL5d4A6FyXZjZX7Lo7bRH3Ldu5p5PfnngvxpzztdjWri2A2uyS8oGKVLCo15bEszVHXxxml68iS&#10;l1aFLIuj5pCHDknbw5Tbh5Wxe2HPm5rDIDTdM3wcpcJlOfbCk5GSZUXCZMjrl+NUzCTl3bYEJo5o&#10;yOFbsD45fN/hQU53q9vm0cvbZD/yyNpxkWMKh3fluXmXa5q2Im8WPP+TUW1T0MHozTVtzNAVtVuL&#10;Gta9oYiujUclYjnpkQrfA853OxBRHiLF2i18tyAi+Cb+8BXJg4DIwhL/agOOByKVMAEp91t8yfDE&#10;clzbMxALDh0sDMizglZhUw+IGwdRImZvcK77vzzRbb916U7BTAotxyxPDXDClXm0aclcrg8U+JyC&#10;Tr5wiv5JoIj4Nn9oqHBdI6CjOAT2E1ScoEJ824cDv/8kVHTlIVUvwzdykorK7/nER3j9e2rVfXV4&#10;9g8AAAD//wMAUEsDBBQABgAIAAAAIQDKpy0R4AAAAAgBAAAPAAAAZHJzL2Rvd25yZXYueG1sTI9B&#10;a4NAFITvhf6H5RV6a1Zjao1xDSG0PYVCk0LJ7UVfVOK+FXej5t93e2qPwwwz32TrSbdioN42hhWE&#10;swAEcWHKhisFX4e3pwSEdcgltoZJwY0srPP7uwzT0oz8ScPeVcKXsE1RQe1cl0ppi5o02pnpiL13&#10;Nr1G52VfybLH0ZfrVs6DIJYaG/YLNXa0ram47K9awfuI4yYKX4fd5by9HQ/PH9+7kJR6fJg2KxCO&#10;JvcXhl98jw65ZzqZK5dWtAqWSx9UMA9iEN5O4kUE4qQgWrwkIPNM/j+Q/wAAAP//AwBQSwECLQAU&#10;AAYACAAAACEAtoM4kv4AAADhAQAAEwAAAAAAAAAAAAAAAAAAAAAAW0NvbnRlbnRfVHlwZXNdLnht&#10;bFBLAQItABQABgAIAAAAIQA4/SH/1gAAAJQBAAALAAAAAAAAAAAAAAAAAC8BAABfcmVscy8ucmVs&#10;c1BLAQItABQABgAIAAAAIQCbcvQRCQcAAL0oAAAOAAAAAAAAAAAAAAAAAC4CAABkcnMvZTJvRG9j&#10;LnhtbFBLAQItABQABgAIAAAAIQDKpy0R4AAAAAgBAAAPAAAAAAAAAAAAAAAAAGMJAABkcnMvZG93&#10;bnJldi54bWxQSwUGAAAAAAQABADzAAAAcAoAAAAA&#10;">
                <v:group id="Group 3" o:spid="_x0000_s1027" style="position:absolute;left:58;top:684;width:4146;height:778" coordorigin="58,684" coordsize="4146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4" o:spid="_x0000_s1028" style="position:absolute;left:58;top:684;width:1666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uOwwAAANsAAAAPAAAAZHJzL2Rvd25yZXYueG1sRI9Bi8Iw&#10;FITvwv6H8ARvmlpUpGsUWXBZCkKte9nbo3m2ZZuX0kRb/70RBI/DzHzDbHaDacSNOldbVjCfRSCI&#10;C6trLhX8ng/TNQjnkTU2lknBnRzsth+jDSba9nyiW+5LESDsElRQed8mUrqiIoNuZlvi4F1sZ9AH&#10;2ZVSd9gHuGlkHEUrabDmsFBhS18VFf/51SjIUpNll/Rv2c/7+Ptso8UxLaxSk/Gw/wThafDv8Kv9&#10;oxXEC3h+CT9Abh8AAAD//wMAUEsBAi0AFAAGAAgAAAAhANvh9svuAAAAhQEAABMAAAAAAAAAAAAA&#10;AAAAAAAAAFtDb250ZW50X1R5cGVzXS54bWxQSwECLQAUAAYACAAAACEAWvQsW78AAAAVAQAACwAA&#10;AAAAAAAAAAAAAAAfAQAAX3JlbHMvLnJlbHNQSwECLQAUAAYACAAAACEAAqLLjsMAAADbAAAADwAA&#10;AAAAAAAAAAAAAAAHAgAAZHJzL2Rvd25yZXYueG1sUEsFBgAAAAADAAMAtwAAAPcCAAAAAA==&#10;" fillcolor="#e5dfec" strokecolor="#8064a2" strokeweight="5pt">
                    <v:stroke linestyle="thickThin"/>
                    <v:shadow color="#868686"/>
                    <v:textbox>
                      <w:txbxContent>
                        <w:p w14:paraId="0469095E" w14:textId="0827BE6E" w:rsidR="003044AC" w:rsidRPr="005D702A" w:rsidRDefault="003044AC" w:rsidP="003044AC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</w:rPr>
                          </w:pPr>
                          <w:r>
                            <w:rPr>
                              <w:b/>
                              <w:color w:val="8064A2"/>
                              <w:sz w:val="22"/>
                            </w:rPr>
                            <w:t xml:space="preserve">Размер </w:t>
                          </w:r>
                          <w:r w:rsidRPr="005D702A">
                            <w:rPr>
                              <w:b/>
                              <w:color w:val="8064A2"/>
                              <w:sz w:val="22"/>
                            </w:rPr>
                            <w:t>платеж</w:t>
                          </w:r>
                          <w:r>
                            <w:rPr>
                              <w:b/>
                              <w:color w:val="8064A2"/>
                              <w:sz w:val="22"/>
                            </w:rPr>
                            <w:t>а</w:t>
                          </w:r>
                          <w:r w:rsidRPr="005D702A">
                            <w:rPr>
                              <w:b/>
                              <w:color w:val="8064A2"/>
                              <w:sz w:val="22"/>
                            </w:rPr>
                            <w:t xml:space="preserve">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iLwQAAANsAAAAPAAAAZHJzL2Rvd25yZXYueG1sRI/NasMw&#10;EITvhb6D2EJutVxDQ+tEMU5oIdf8QK+LtbGdWLuupTrO20eFQo/DfDPDLIvJdWqkwbfCBl6SFBRx&#10;Jbbl2sDx8Pn8BsoHZIudMBm4kYdi9fiwxNzKlXc07kOtYgn7HA00IfS51r5qyKFPpCeO3kkGhyHK&#10;odZ2wGssd53O0nSuHbYcFxrsadNQddn/OANf56xbS/khWsIhAu/j9nunjZk9TeUCVKAp/MN/6a01&#10;kL3C75f4A/TqDgAA//8DAFBLAQItABQABgAIAAAAIQDb4fbL7gAAAIUBAAATAAAAAAAAAAAAAAAA&#10;AAAAAABbQ29udGVudF9UeXBlc10ueG1sUEsBAi0AFAAGAAgAAAAhAFr0LFu/AAAAFQEAAAsAAAAA&#10;AAAAAAAAAAAAHwEAAF9yZWxzLy5yZWxzUEsBAi0AFAAGAAgAAAAhAIChmIvBAAAA2wAAAA8AAAAA&#10;AAAAAAAAAAAABwIAAGRycy9kb3ducmV2LnhtbFBLBQYAAAAAAwADALcAAAD1AgAAAAA=&#10;" fillcolor="#f2dbdb" strokecolor="#c0504d" strokeweight="2.5pt">
                    <v:shadow color="#868686"/>
                    <v:textbox>
                      <w:txbxContent>
                        <w:p w14:paraId="4C990E66" w14:textId="77777777" w:rsidR="003044AC" w:rsidRPr="00435538" w:rsidRDefault="003044AC" w:rsidP="003044AC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vertAlign w:val="subscript"/>
                              <w:lang w:val="en-US"/>
                            </w:rPr>
                          </w:pPr>
                          <w:r w:rsidRPr="005D702A">
                            <w:rPr>
                              <w:b/>
                              <w:color w:val="C00000"/>
                              <w:sz w:val="22"/>
                            </w:rPr>
                            <w:t>Т</w:t>
                          </w:r>
                          <w:proofErr w:type="spellStart"/>
                          <w:r>
                            <w:rPr>
                              <w:b/>
                              <w:color w:val="C00000"/>
                              <w:sz w:val="22"/>
                              <w:vertAlign w:val="subscript"/>
                              <w:lang w:val="en-US"/>
                            </w:rPr>
                            <w:t>i</w:t>
                          </w:r>
                          <w:proofErr w:type="spellEnd"/>
                        </w:p>
                        <w:p w14:paraId="26CA4230" w14:textId="77777777" w:rsidR="003044AC" w:rsidRPr="00D5139A" w:rsidRDefault="003044AC" w:rsidP="003044A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KZxgAAANsAAAAPAAAAZHJzL2Rvd25yZXYueG1sRI/RasJA&#10;FETfC/7Dcgu+lLqphRCjq0hBWyx9SOwHXLLXJDV7N2ZXk/x9Vyj0cZiZM8xqM5hG3KhztWUFL7MI&#10;BHFhdc2lgu/j7jkB4TyyxsYyKRjJwWY9eVhhqm3PGd1yX4oAYZeigsr7NpXSFRUZdDPbEgfvZDuD&#10;PsiulLrDPsBNI+dRFEuDNYeFClt6q6g451ej4HJ8t4ds/3QZP3+SL371izg5L5SaPg7bJQhPg/8P&#10;/7U/tIJ5DPcv4QfI9S8AAAD//wMAUEsBAi0AFAAGAAgAAAAhANvh9svuAAAAhQEAABMAAAAAAAAA&#10;AAAAAAAAAAAAAFtDb250ZW50X1R5cGVzXS54bWxQSwECLQAUAAYACAAAACEAWvQsW78AAAAVAQAA&#10;CwAAAAAAAAAAAAAAAAAfAQAAX3JlbHMvLnJlbHNQSwECLQAUAAYACAAAACEAomXimcYAAADbAAAA&#10;DwAAAAAAAAAAAAAAAAAHAgAAZHJzL2Rvd25yZXYueG1sUEsFBgAAAAADAAMAtwAAAPoC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805;top:1005;width:356;height:182" coordorigin="1805,1003" coordsize="35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10" o:spid="_x0000_s1032" style="position:absolute;left:1805;top:1003;width:356;height: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ezvwAAANsAAAAPAAAAZHJzL2Rvd25yZXYueG1sRE/Pa8Iw&#10;FL4L+x/CE3azqR5EukYZ4qgnmbVs10fz1pYlL6WJbfffLwfB48f3Oz/M1oiRBt85VrBOUhDEtdMd&#10;Nwqq28dqB8IHZI3GMSn4Iw+H/csix0y7ia80lqERMYR9hgraEPpMSl+3ZNEnrieO3I8bLIYIh0bq&#10;AacYbo3cpOlWWuw4NrTY07Gl+re8WwUXey7qr+/KcVlsP6sTmluRGqVel/P7G4hAc3iKH+6zVrCJ&#10;Y+OX+APk/h8AAP//AwBQSwECLQAUAAYACAAAACEA2+H2y+4AAACFAQAAEwAAAAAAAAAAAAAAAAAA&#10;AAAAW0NvbnRlbnRfVHlwZXNdLnhtbFBLAQItABQABgAIAAAAIQBa9CxbvwAAABUBAAALAAAAAAAA&#10;AAAAAAAAAB8BAABfcmVscy8ucmVsc1BLAQItABQABgAIAAAAIQDAnCezvwAAANsAAAAPAAAAAAAA&#10;AAAAAAAAAAcCAABkcnMvZG93bnJldi54bWxQSwUGAAAAAAMAAwC3AAAA8wI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805;top:1121;width:356;height:5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IowQAAANsAAAAPAAAAZHJzL2Rvd25yZXYueG1sRI9Bi8Iw&#10;FITvgv8hPGFvmupBdqtRRJR6krUWvT6aZ1tMXkqT1frvNwvCHoeZ+YZZrntrxIM63zhWMJ0kIIhL&#10;pxuuFBTn/fgThA/IGo1jUvAiD+vVcLDEVLsnn+iRh0pECPsUFdQhtKmUvqzJop+4ljh6N9dZDFF2&#10;ldQdPiPcGjlLkrm02HBcqLGlbU3lPf+xCo72kJWXa+E4z+bfxQ7NOUuMUh+jfrMAEagP/+F3+6AV&#10;zL7g70v8AXL1CwAA//8DAFBLAQItABQABgAIAAAAIQDb4fbL7gAAAIUBAAATAAAAAAAAAAAAAAAA&#10;AAAAAABbQ29udGVudF9UeXBlc10ueG1sUEsBAi0AFAAGAAgAAAAhAFr0LFu/AAAAFQEAAAsAAAAA&#10;AAAAAAAAAAAAHwEAAF9yZWxzLy5yZWxzUEsBAi0AFAAGAAgAAAAhAK/QgijBAAAA2wAAAA8AAAAA&#10;AAAAAAAAAAAABwIAAGRycy9kb3ducmV2LnhtbFBLBQYAAAAAAwADALcAAAD1Ag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3" o:spid="_x0000_s1035" style="position:absolute;left:2792;top:-10;width:238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emwgAAANsAAAAPAAAAZHJzL2Rvd25yZXYueG1sRE/fa8Iw&#10;EH4X9j+EG/imqY6NWU2LiIPBYLhO8PVozrTaXGoTte6vX4TB3u7j+3mLvLeNuFDna8cKJuMEBHHp&#10;dM1Gwfb7bfQKwgdkjY1jUnAjD3n2MFhgqt2Vv+hSBCNiCPsUFVQhtKmUvqzIoh+7ljhye9dZDBF2&#10;RuoOrzHcNnKaJC/SYs2xocKWVhWVx+JsFXz+3Da709YsW2PXh75+2n0Uz6zU8LFfzkEE6sO/+M/9&#10;ruP8Gdx/iQfI7BcAAP//AwBQSwECLQAUAAYACAAAACEA2+H2y+4AAACFAQAAEwAAAAAAAAAAAAAA&#10;AAAAAAAAW0NvbnRlbnRfVHlwZXNdLnhtbFBLAQItABQABgAIAAAAIQBa9CxbvwAAABUBAAALAAAA&#10;AAAAAAAAAAAAAB8BAABfcmVscy8ucmVsc1BLAQItABQABgAIAAAAIQDJyrem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14:paraId="6C92941D" w14:textId="77777777" w:rsidR="003044AC" w:rsidRPr="005D702A" w:rsidRDefault="003044AC" w:rsidP="003044A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lang w:val="en-US"/>
                            </w:rPr>
                            <w:t>N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vertAlign w:val="subscript"/>
                              <w:lang w:val="en-US"/>
                            </w:rPr>
                            <w:t>i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</w:rPr>
                            <w:t xml:space="preserve"> </w:t>
                          </w: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(норматив потребления КУ, норматив накопления ТКО)</w:t>
                          </w:r>
                        </w:p>
                        <w:p w14:paraId="4E491937" w14:textId="77777777" w:rsidR="003044AC" w:rsidRDefault="003044AC" w:rsidP="003044AC">
                          <w:pPr>
                            <w:jc w:val="center"/>
                          </w:pPr>
                        </w:p>
                        <w:p w14:paraId="65593669" w14:textId="77777777" w:rsidR="003044AC" w:rsidRDefault="003044AC" w:rsidP="003044AC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SGwgAAANsAAAAPAAAAZHJzL2Rvd25yZXYueG1sRE9da8Iw&#10;FH0f+B/CFfa2pnZsjGqUIg4Gg7F1BV8vzTWtNje1ybT6683DwMfD+V6sRtuJEw2+daxglqQgiGun&#10;WzYKqt/3pzcQPiBr7ByTggt5WC0nDwvMtTvzD53KYEQMYZ+jgiaEPpfS1w1Z9InriSO3c4PFEOFg&#10;pB7wHMNtJ7M0fZUWW44NDfa0bqg+lH9Wwdf18r09Vqbojd3sx/Z5+1m+sFKP07GYgwg0hrv43/2h&#10;FWRxffwSf4Bc3gAAAP//AwBQSwECLQAUAAYACAAAACEA2+H2y+4AAACFAQAAEwAAAAAAAAAAAAAA&#10;AAAAAAAAW0NvbnRlbnRfVHlwZXNdLnhtbFBLAQItABQABgAIAAAAIQBa9CxbvwAAABUBAAALAAAA&#10;AAAAAAAAAAAAAB8BAABfcmVscy8ucmVsc1BLAQItABQABgAIAAAAIQCWnNSG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14:paraId="6B2D45A7" w14:textId="77777777" w:rsidR="003044AC" w:rsidRPr="00D5139A" w:rsidRDefault="003044AC" w:rsidP="003044AC">
                          <w:pPr>
                            <w:jc w:val="center"/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lang w:val="en-US"/>
                            </w:rPr>
                            <w:t>V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lang w:val="en-US"/>
                            </w:rPr>
                            <w:t>i</w:t>
                          </w:r>
                          <w:r w:rsidRPr="00435538">
                            <w:rPr>
                              <w:b/>
                              <w:color w:val="1F497D"/>
                              <w:sz w:val="22"/>
                            </w:rPr>
                            <w:t xml:space="preserve"> </w:t>
                          </w: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shwwAAANsAAAAPAAAAZHJzL2Rvd25yZXYueG1sRI9Ba8JA&#10;FITvBf/D8gRvdRMPKqmbIIKlxxpF6e01+5oEs2/j7jam/75bKHgcZuYbZlOMphMDOd9aVpDOExDE&#10;ldUt1wpOx/3zGoQPyBo7y6TghzwU+eRpg5m2dz7QUIZaRAj7DBU0IfSZlL5qyKCf2544el/WGQxR&#10;ulpqh/cIN51cJMlSGmw5LjTY066h6lp+GwWX81B+rvTr6T2sPi54dLd0S0ulZtNx+wIi0Bge4f/2&#10;m1awSOHvS/wBMv8FAAD//wMAUEsBAi0AFAAGAAgAAAAhANvh9svuAAAAhQEAABMAAAAAAAAAAAAA&#10;AAAAAAAAAFtDb250ZW50X1R5cGVzXS54bWxQSwECLQAUAAYACAAAACEAWvQsW78AAAAVAQAACwAA&#10;AAAAAAAAAAAAAAAfAQAAX3JlbHMvLnJlbHNQSwECLQAUAAYACAAAACEAwZs7IcMAAADbAAAADwAA&#10;AAAAAAAAAAAAAAAHAgAAZHJzL2Rvd25yZXYueG1sUEsFBgAAAAADAAMAtwAAAPcC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14:paraId="29B21F85" w14:textId="77777777" w:rsidR="003044AC" w:rsidRPr="005D702A" w:rsidRDefault="003044AC" w:rsidP="003044AC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2axQAAANsAAAAPAAAAZHJzL2Rvd25yZXYueG1sRI9Pa8JA&#10;FMTvgt9heQUvYjaJKJK6ihUEhV78c/H2yL5mQ7NvY3araT99t1DwOMzMb5jlureNuFPna8cKsiQF&#10;QVw6XXOl4HLeTRYgfEDW2DgmBd/kYb0aDpZYaPfgI91PoRIRwr5ABSaEtpDSl4Ys+sS1xNH7cJ3F&#10;EGVXSd3hI8JtI/M0nUuLNccFgy1tDZWfpy+r4Ge/OWZTMz7cvMnet2/XVtN4ptTopd+8ggjUh2f4&#10;v73XCvIc/r7EHyBXvwAAAP//AwBQSwECLQAUAAYACAAAACEA2+H2y+4AAACFAQAAEwAAAAAAAAAA&#10;AAAAAAAAAAAAW0NvbnRlbnRfVHlwZXNdLnhtbFBLAQItABQABgAIAAAAIQBa9CxbvwAAABUBAAAL&#10;AAAAAAAAAAAAAAAAAB8BAABfcmVscy8ucmVsc1BLAQItABQABgAIAAAAIQDWYe2axQAAANsAAAAP&#10;AAAAAAAAAAAAAAAAAAcCAABkcnMvZG93bnJldi54bWxQSwUGAAAAAAMAAwC3AAAA+QI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mLwwAAANsAAAAPAAAAZHJzL2Rvd25yZXYueG1sRI9Pi8Iw&#10;FMTvwn6H8Ba8abIKItUoi9BFvIh/z4/m2Vabl24TtfrpzcKCx2FmfsNM562txI0aXzrW8NVXIIgz&#10;Z0rONex3aW8Mwgdkg5Vj0vAgD/PZR2eKiXF33tBtG3IRIewT1FCEUCdS+qwgi77vauLonVxjMUTZ&#10;5NI0eI9wW8mBUiNpseS4UGBNi4Kyy/ZqNaTlcfWzeKpU/T6G5/XmcGitS7XufrbfExCB2vAO/7eX&#10;RsNgCH9f4g+QsxcAAAD//wMAUEsBAi0AFAAGAAgAAAAhANvh9svuAAAAhQEAABMAAAAAAAAAAAAA&#10;AAAAAAAAAFtDb250ZW50X1R5cGVzXS54bWxQSwECLQAUAAYACAAAACEAWvQsW78AAAAVAQAACwAA&#10;AAAAAAAAAAAAAAAfAQAAX3JlbHMvLnJlbHNQSwECLQAUAAYACAAAACEA1Qw5i8MAAADbAAAADwAA&#10;AAAAAAAAAAAAAAAHAgAAZHJzL2Rvd25yZXYueG1sUEsFBgAAAAADAAMAtwAAAPcC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</w:p>
    <w:p w14:paraId="336964D6" w14:textId="2BA6D2D6" w:rsidR="003044AC" w:rsidRDefault="003044AC" w:rsidP="00A170A3">
      <w: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3044AC" w:rsidRPr="00494227" w14:paraId="6B0FE9A6" w14:textId="77777777" w:rsidTr="002A2586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E2C8C" w14:textId="625AF4BD" w:rsidR="003044AC" w:rsidRPr="003A0006" w:rsidRDefault="003044AC" w:rsidP="002A2586">
            <w:pPr>
              <w:tabs>
                <w:tab w:val="left" w:pos="3795"/>
              </w:tabs>
              <w:rPr>
                <w:rStyle w:val="a5"/>
                <w:rFonts w:ascii="Calibri" w:eastAsia="Calibri" w:hAnsi="Calibri"/>
                <w:i w:val="0"/>
                <w:sz w:val="56"/>
                <w:szCs w:val="56"/>
              </w:rPr>
            </w:pPr>
          </w:p>
        </w:tc>
      </w:tr>
    </w:tbl>
    <w:p w14:paraId="5C8369A2" w14:textId="77777777" w:rsidR="003044AC" w:rsidRDefault="003044AC" w:rsidP="003044AC">
      <w:pPr>
        <w:tabs>
          <w:tab w:val="left" w:pos="3795"/>
        </w:tabs>
        <w:rPr>
          <w:b/>
          <w:sz w:val="22"/>
        </w:rPr>
      </w:pPr>
      <w:r>
        <w:rPr>
          <w:b/>
        </w:rPr>
        <w:t xml:space="preserve">  </w:t>
      </w:r>
      <w:r>
        <w:rPr>
          <w:b/>
        </w:rPr>
        <w:tab/>
      </w:r>
    </w:p>
    <w:p w14:paraId="38784E15" w14:textId="77777777" w:rsidR="003044AC" w:rsidRDefault="003044AC" w:rsidP="003044AC">
      <w:pPr>
        <w:tabs>
          <w:tab w:val="left" w:pos="3795"/>
        </w:tabs>
        <w:rPr>
          <w:b/>
        </w:rPr>
      </w:pPr>
      <w:r>
        <w:rPr>
          <w:b/>
        </w:rPr>
        <w:tab/>
      </w:r>
    </w:p>
    <w:p w14:paraId="2B908467" w14:textId="7507CB4F" w:rsidR="003044AC" w:rsidRPr="00756A8C" w:rsidRDefault="003044AC" w:rsidP="003044AC">
      <w:pPr>
        <w:tabs>
          <w:tab w:val="left" w:pos="3795"/>
        </w:tabs>
        <w:rPr>
          <w:sz w:val="26"/>
          <w:szCs w:val="26"/>
        </w:rPr>
      </w:pPr>
    </w:p>
    <w:p w14:paraId="62342547" w14:textId="77777777" w:rsidR="003044AC" w:rsidRDefault="003044AC" w:rsidP="003044AC">
      <w:pPr>
        <w:spacing w:line="276" w:lineRule="auto"/>
        <w:ind w:firstLine="567"/>
        <w:jc w:val="both"/>
        <w:rPr>
          <w:sz w:val="26"/>
          <w:szCs w:val="26"/>
        </w:rPr>
      </w:pPr>
    </w:p>
    <w:p w14:paraId="05870809" w14:textId="77777777" w:rsidR="003044AC" w:rsidRDefault="003044AC" w:rsidP="003044AC">
      <w:pPr>
        <w:spacing w:line="276" w:lineRule="auto"/>
        <w:ind w:firstLine="567"/>
        <w:jc w:val="both"/>
        <w:rPr>
          <w:sz w:val="26"/>
          <w:szCs w:val="26"/>
        </w:rPr>
      </w:pPr>
    </w:p>
    <w:p w14:paraId="48AB10D6" w14:textId="77777777" w:rsidR="003044AC" w:rsidRDefault="003044AC" w:rsidP="003044AC">
      <w:pPr>
        <w:spacing w:line="276" w:lineRule="auto"/>
        <w:ind w:firstLine="567"/>
        <w:jc w:val="both"/>
        <w:rPr>
          <w:rStyle w:val="titlerazdel"/>
        </w:rPr>
      </w:pPr>
    </w:p>
    <w:p w14:paraId="4DC094F5" w14:textId="77777777" w:rsidR="00B168C0" w:rsidRPr="001F5105" w:rsidRDefault="00B168C0" w:rsidP="00B168C0">
      <w:pPr>
        <w:ind w:firstLine="567"/>
        <w:jc w:val="both"/>
        <w:rPr>
          <w:rFonts w:eastAsia="Calibri"/>
          <w:szCs w:val="28"/>
        </w:rPr>
      </w:pPr>
      <w:r w:rsidRPr="00B168C0">
        <w:rPr>
          <w:rFonts w:eastAsia="Calibri"/>
          <w:szCs w:val="28"/>
        </w:rPr>
        <w:t>Информация по тарифам, установленным на 2024 год также размещена на официальном сайте администрации Ханты-Мансийского района, в разделе Жилищно-коммунальное хозяйство.</w:t>
      </w:r>
      <w:r w:rsidRPr="001F5105">
        <w:rPr>
          <w:rFonts w:eastAsia="Calibri"/>
          <w:szCs w:val="28"/>
        </w:rPr>
        <w:t xml:space="preserve"> </w:t>
      </w:r>
    </w:p>
    <w:p w14:paraId="2B42A526" w14:textId="77777777" w:rsidR="003044AC" w:rsidRPr="00C81D66" w:rsidRDefault="003044AC" w:rsidP="003044AC">
      <w:pPr>
        <w:ind w:firstLine="567"/>
        <w:jc w:val="center"/>
        <w:rPr>
          <w:rFonts w:eastAsia="Calibri"/>
          <w:b/>
        </w:rPr>
      </w:pPr>
    </w:p>
    <w:p w14:paraId="36C6723B" w14:textId="0DE2ACCE" w:rsidR="003044AC" w:rsidRPr="00885887" w:rsidRDefault="003044AC" w:rsidP="003044AC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>Пример расчета размера платы</w:t>
      </w:r>
    </w:p>
    <w:p w14:paraId="76190996" w14:textId="20EFC965" w:rsidR="003044AC" w:rsidRPr="00885887" w:rsidRDefault="003044AC" w:rsidP="003044AC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 xml:space="preserve"> за </w:t>
      </w:r>
      <w:r w:rsidR="00015458">
        <w:rPr>
          <w:rFonts w:eastAsia="Calibri"/>
          <w:b/>
        </w:rPr>
        <w:t>жилищно-</w:t>
      </w:r>
      <w:r w:rsidRPr="00885887">
        <w:rPr>
          <w:rFonts w:eastAsia="Calibri"/>
          <w:b/>
        </w:rPr>
        <w:t xml:space="preserve">коммунальные услуги (при наличии приборов учета) </w:t>
      </w:r>
      <w:r w:rsidR="0060352E">
        <w:rPr>
          <w:rFonts w:eastAsia="Calibri"/>
          <w:b/>
        </w:rPr>
        <w:t>в многоквартирном жилом доме</w:t>
      </w:r>
    </w:p>
    <w:p w14:paraId="3A888F5F" w14:textId="55732913" w:rsidR="003044AC" w:rsidRPr="00872A7A" w:rsidRDefault="003044AC" w:rsidP="003044AC">
      <w:pPr>
        <w:rPr>
          <w:rFonts w:eastAsia="Calibri"/>
          <w:sz w:val="20"/>
          <w:szCs w:val="18"/>
        </w:rPr>
      </w:pPr>
      <w:r w:rsidRPr="00872A7A">
        <w:rPr>
          <w:rFonts w:eastAsia="Calibri"/>
          <w:sz w:val="20"/>
          <w:szCs w:val="18"/>
        </w:rPr>
        <w:t>Площадь: 5</w:t>
      </w:r>
      <w:r>
        <w:rPr>
          <w:rFonts w:eastAsia="Calibri"/>
          <w:sz w:val="20"/>
          <w:szCs w:val="18"/>
        </w:rPr>
        <w:t>4</w:t>
      </w:r>
      <w:r w:rsidRPr="00872A7A">
        <w:rPr>
          <w:rFonts w:eastAsia="Calibri"/>
          <w:sz w:val="20"/>
          <w:szCs w:val="18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</w:rPr>
        <w:t>2</w:t>
      </w:r>
      <w:r w:rsidRPr="00872A7A">
        <w:rPr>
          <w:rFonts w:eastAsia="Calibri"/>
          <w:sz w:val="20"/>
          <w:szCs w:val="18"/>
        </w:rPr>
        <w:t xml:space="preserve">. Кол-во проживающих: 3 чел. </w:t>
      </w:r>
    </w:p>
    <w:p w14:paraId="23F0FC3E" w14:textId="2A0DE0DD" w:rsidR="003044AC" w:rsidRDefault="003044AC" w:rsidP="003044AC">
      <w:pPr>
        <w:rPr>
          <w:rFonts w:eastAsia="Calibri"/>
          <w:sz w:val="20"/>
          <w:szCs w:val="18"/>
        </w:rPr>
      </w:pPr>
      <w:r w:rsidRPr="00872A7A">
        <w:rPr>
          <w:rFonts w:eastAsia="Calibri"/>
          <w:sz w:val="20"/>
          <w:szCs w:val="18"/>
        </w:rPr>
        <w:t>Расчет размера платы за жилищные и коммунальные услуги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1276"/>
        <w:gridCol w:w="1842"/>
      </w:tblGrid>
      <w:tr w:rsidR="0060352E" w:rsidRPr="0060352E" w14:paraId="4C6F70EA" w14:textId="77777777" w:rsidTr="0060352E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2387" w14:textId="77777777" w:rsidR="0060352E" w:rsidRPr="0060352E" w:rsidRDefault="0060352E" w:rsidP="0060352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 платы*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9F27" w14:textId="77777777" w:rsidR="0060352E" w:rsidRPr="0060352E" w:rsidRDefault="0060352E" w:rsidP="0060352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03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5BFA" w14:textId="77777777" w:rsidR="0060352E" w:rsidRPr="0060352E" w:rsidRDefault="0060352E" w:rsidP="0060352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Объем*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8A98" w14:textId="77777777" w:rsidR="0060352E" w:rsidRPr="0060352E" w:rsidRDefault="0060352E" w:rsidP="0060352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BDF6" w14:textId="77777777" w:rsidR="0060352E" w:rsidRPr="0060352E" w:rsidRDefault="0060352E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Итого*, руб.</w:t>
            </w:r>
          </w:p>
        </w:tc>
      </w:tr>
      <w:tr w:rsidR="0060352E" w:rsidRPr="0060352E" w14:paraId="7DC429A0" w14:textId="77777777" w:rsidTr="0060352E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A615" w14:textId="77777777" w:rsidR="0060352E" w:rsidRPr="0060352E" w:rsidRDefault="0060352E" w:rsidP="0060352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751A" w14:textId="77777777" w:rsidR="0060352E" w:rsidRPr="0060352E" w:rsidRDefault="0060352E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61D9" w14:textId="77777777" w:rsidR="0060352E" w:rsidRPr="0060352E" w:rsidRDefault="0060352E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C854" w14:textId="77777777" w:rsidR="0060352E" w:rsidRPr="0060352E" w:rsidRDefault="0060352E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1A27" w14:textId="77777777" w:rsidR="0060352E" w:rsidRPr="0060352E" w:rsidRDefault="0060352E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599,94</w:t>
            </w:r>
          </w:p>
        </w:tc>
      </w:tr>
      <w:tr w:rsidR="0060352E" w:rsidRPr="0060352E" w14:paraId="33FB4F65" w14:textId="77777777" w:rsidTr="0060352E">
        <w:trPr>
          <w:trHeight w:val="4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C8B2" w14:textId="77777777" w:rsidR="0060352E" w:rsidRPr="0060352E" w:rsidRDefault="0060352E" w:rsidP="0060352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5252" w14:textId="77777777" w:rsidR="0060352E" w:rsidRPr="0060352E" w:rsidRDefault="0060352E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DEB8" w14:textId="77777777" w:rsidR="0060352E" w:rsidRPr="0060352E" w:rsidRDefault="0060352E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04E5" w14:textId="77777777" w:rsidR="0060352E" w:rsidRPr="0060352E" w:rsidRDefault="0060352E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141,17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AD0C" w14:textId="77777777" w:rsidR="0060352E" w:rsidRPr="0060352E" w:rsidRDefault="0060352E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1 270,53</w:t>
            </w:r>
          </w:p>
        </w:tc>
      </w:tr>
      <w:tr w:rsidR="0060352E" w:rsidRPr="0060352E" w14:paraId="128401AF" w14:textId="77777777" w:rsidTr="0060352E">
        <w:trPr>
          <w:trHeight w:val="49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ABB5" w14:textId="77777777" w:rsidR="0060352E" w:rsidRPr="0060352E" w:rsidRDefault="0060352E" w:rsidP="0060352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2CAC" w14:textId="77777777" w:rsidR="0060352E" w:rsidRPr="0060352E" w:rsidRDefault="0060352E" w:rsidP="0060352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0352E">
              <w:rPr>
                <w:rFonts w:eastAsia="Times New Roman"/>
                <w:sz w:val="18"/>
                <w:szCs w:val="18"/>
                <w:lang w:eastAsia="ru-RU"/>
              </w:rPr>
              <w:t>кВтч</w:t>
            </w:r>
            <w:proofErr w:type="spellEnd"/>
            <w:r w:rsidRPr="0060352E">
              <w:rPr>
                <w:rFonts w:eastAsia="Times New Roman"/>
                <w:sz w:val="18"/>
                <w:szCs w:val="18"/>
                <w:lang w:eastAsia="ru-RU"/>
              </w:rPr>
              <w:t xml:space="preserve"> (день)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AE3B" w14:textId="77777777" w:rsidR="0060352E" w:rsidRPr="0060352E" w:rsidRDefault="0060352E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EEEB" w14:textId="77777777" w:rsidR="0060352E" w:rsidRPr="0060352E" w:rsidRDefault="0060352E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6CEA" w14:textId="77777777" w:rsidR="0060352E" w:rsidRPr="0060352E" w:rsidRDefault="0060352E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735,00</w:t>
            </w:r>
          </w:p>
        </w:tc>
      </w:tr>
      <w:tr w:rsidR="0060352E" w:rsidRPr="0060352E" w14:paraId="01D7F33F" w14:textId="77777777" w:rsidTr="0060352E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64A6" w14:textId="77777777" w:rsidR="0060352E" w:rsidRPr="0060352E" w:rsidRDefault="0060352E" w:rsidP="0060352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187D" w14:textId="77777777" w:rsidR="0060352E" w:rsidRPr="0060352E" w:rsidRDefault="0060352E" w:rsidP="0060352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0352E">
              <w:rPr>
                <w:rFonts w:eastAsia="Times New Roman"/>
                <w:sz w:val="18"/>
                <w:szCs w:val="18"/>
                <w:lang w:eastAsia="ru-RU"/>
              </w:rPr>
              <w:t>кВтч</w:t>
            </w:r>
            <w:proofErr w:type="spellEnd"/>
            <w:r w:rsidRPr="0060352E">
              <w:rPr>
                <w:rFonts w:eastAsia="Times New Roman"/>
                <w:sz w:val="18"/>
                <w:szCs w:val="18"/>
                <w:lang w:eastAsia="ru-RU"/>
              </w:rPr>
              <w:t xml:space="preserve"> (ночь)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2157" w14:textId="77777777" w:rsidR="0060352E" w:rsidRPr="0060352E" w:rsidRDefault="0060352E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EDB6" w14:textId="77777777" w:rsidR="0060352E" w:rsidRPr="0060352E" w:rsidRDefault="0060352E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1BA9" w14:textId="77777777" w:rsidR="0060352E" w:rsidRPr="0060352E" w:rsidRDefault="0060352E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357,00</w:t>
            </w:r>
          </w:p>
        </w:tc>
      </w:tr>
      <w:tr w:rsidR="0060352E" w:rsidRPr="0060352E" w14:paraId="74D185D1" w14:textId="77777777" w:rsidTr="0060352E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6AFD" w14:textId="77777777" w:rsidR="0060352E" w:rsidRPr="0060352E" w:rsidRDefault="0060352E" w:rsidP="0060352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sz w:val="18"/>
                <w:szCs w:val="18"/>
                <w:lang w:eastAsia="ru-RU"/>
              </w:rPr>
              <w:t>Водоотведение (вывоз ЖБО)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411B" w14:textId="77777777" w:rsidR="0060352E" w:rsidRPr="0060352E" w:rsidRDefault="0060352E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8771" w14:textId="77777777" w:rsidR="0060352E" w:rsidRPr="0060352E" w:rsidRDefault="0060352E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E3B3" w14:textId="77777777" w:rsidR="0060352E" w:rsidRPr="0060352E" w:rsidRDefault="0060352E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131,42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2837" w14:textId="77777777" w:rsidR="0060352E" w:rsidRPr="0060352E" w:rsidRDefault="0060352E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1 182,78</w:t>
            </w:r>
          </w:p>
        </w:tc>
      </w:tr>
      <w:tr w:rsidR="0060352E" w:rsidRPr="0060352E" w14:paraId="77C38565" w14:textId="77777777" w:rsidTr="00383776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99D7" w14:textId="77777777" w:rsidR="0060352E" w:rsidRPr="0060352E" w:rsidRDefault="0060352E" w:rsidP="0060352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8AC6" w14:textId="77777777" w:rsidR="0060352E" w:rsidRPr="0060352E" w:rsidRDefault="0060352E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9436" w14:textId="77777777" w:rsidR="0060352E" w:rsidRPr="0060352E" w:rsidRDefault="0060352E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C3FE" w14:textId="77777777" w:rsidR="0060352E" w:rsidRPr="0060352E" w:rsidRDefault="0060352E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C229" w14:textId="77777777" w:rsidR="0060352E" w:rsidRPr="0060352E" w:rsidRDefault="0060352E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30,57</w:t>
            </w:r>
          </w:p>
        </w:tc>
      </w:tr>
      <w:tr w:rsidR="0060352E" w:rsidRPr="0060352E" w14:paraId="01024415" w14:textId="77777777" w:rsidTr="00383776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601D" w14:textId="77777777" w:rsidR="0060352E" w:rsidRPr="0060352E" w:rsidRDefault="0060352E" w:rsidP="0060352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0C15" w14:textId="77777777" w:rsidR="0060352E" w:rsidRPr="0060352E" w:rsidRDefault="0060352E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4969" w14:textId="77777777" w:rsidR="0060352E" w:rsidRPr="0060352E" w:rsidRDefault="0060352E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sz w:val="18"/>
                <w:szCs w:val="18"/>
                <w:lang w:eastAsia="ru-RU"/>
              </w:rPr>
              <w:t>1,377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1B6E" w14:textId="77777777" w:rsidR="0060352E" w:rsidRPr="0060352E" w:rsidRDefault="0060352E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3 795,88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4671" w14:textId="77777777" w:rsidR="0060352E" w:rsidRPr="0060352E" w:rsidRDefault="0060352E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5 226,93</w:t>
            </w:r>
          </w:p>
        </w:tc>
      </w:tr>
      <w:tr w:rsidR="0060352E" w:rsidRPr="0060352E" w14:paraId="4B3E189C" w14:textId="77777777" w:rsidTr="00383776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83BD" w14:textId="77777777" w:rsidR="0060352E" w:rsidRPr="0060352E" w:rsidRDefault="0060352E" w:rsidP="0060352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sz w:val="18"/>
                <w:szCs w:val="18"/>
                <w:lang w:eastAsia="ru-RU"/>
              </w:rPr>
              <w:t>Обращение с ТКО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C6A5" w14:textId="77777777" w:rsidR="0060352E" w:rsidRPr="0060352E" w:rsidRDefault="0060352E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9D34" w14:textId="77777777" w:rsidR="0060352E" w:rsidRPr="0060352E" w:rsidRDefault="0060352E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0,5475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B813" w14:textId="77777777" w:rsidR="0060352E" w:rsidRPr="0060352E" w:rsidRDefault="0060352E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832,19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5EC2" w14:textId="77777777" w:rsidR="0060352E" w:rsidRPr="0060352E" w:rsidRDefault="0060352E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0352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455,62</w:t>
            </w:r>
          </w:p>
        </w:tc>
      </w:tr>
      <w:tr w:rsidR="00701C30" w:rsidRPr="0060352E" w14:paraId="59B0282A" w14:textId="77777777" w:rsidTr="0060352E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FB8C" w14:textId="707712F7" w:rsidR="00701C30" w:rsidRPr="00701C30" w:rsidRDefault="00701C30" w:rsidP="00701C3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01C3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F502" w14:textId="77777777" w:rsidR="00701C30" w:rsidRPr="0060352E" w:rsidRDefault="00701C30" w:rsidP="0060352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550B" w14:textId="77777777" w:rsidR="00701C30" w:rsidRPr="0060352E" w:rsidRDefault="00701C30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88FF" w14:textId="77777777" w:rsidR="00701C30" w:rsidRPr="0060352E" w:rsidRDefault="00701C30" w:rsidP="006035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7E2C" w14:textId="69948328" w:rsidR="00701C30" w:rsidRPr="00701C30" w:rsidRDefault="00701C30" w:rsidP="006035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1C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9 858,37</w:t>
            </w:r>
          </w:p>
        </w:tc>
      </w:tr>
    </w:tbl>
    <w:p w14:paraId="71784876" w14:textId="25860BB8" w:rsidR="0060352E" w:rsidRDefault="0060352E" w:rsidP="003044AC">
      <w:pPr>
        <w:rPr>
          <w:rFonts w:eastAsia="Calibri"/>
          <w:sz w:val="20"/>
          <w:szCs w:val="18"/>
        </w:rPr>
      </w:pPr>
    </w:p>
    <w:p w14:paraId="7DC9DD02" w14:textId="77777777" w:rsidR="003044AC" w:rsidRPr="00C81D66" w:rsidRDefault="003044AC" w:rsidP="003F7023">
      <w:pPr>
        <w:spacing w:after="0"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lastRenderedPageBreak/>
        <w:t>В структуру платежного документа помимо коммунальных услуг</w:t>
      </w:r>
      <w:r>
        <w:rPr>
          <w:rFonts w:eastAsia="Calibri"/>
        </w:rPr>
        <w:t xml:space="preserve"> и взноса за капитальный ремонт (услуги</w:t>
      </w:r>
      <w:r w:rsidRPr="00C81D66">
        <w:rPr>
          <w:rFonts w:eastAsia="Calibri"/>
        </w:rPr>
        <w:t xml:space="preserve"> </w:t>
      </w:r>
      <w:r>
        <w:rPr>
          <w:rFonts w:eastAsia="Calibri"/>
        </w:rPr>
        <w:t>регулируются государством), входя</w:t>
      </w:r>
      <w:r w:rsidRPr="00C81D66">
        <w:rPr>
          <w:rFonts w:eastAsia="Calibri"/>
        </w:rPr>
        <w:t xml:space="preserve">т плата за содержание </w:t>
      </w:r>
      <w:r>
        <w:rPr>
          <w:rFonts w:eastAsia="Calibri"/>
        </w:rPr>
        <w:t xml:space="preserve">и текущий ремонт </w:t>
      </w:r>
      <w:r w:rsidRPr="00C81D66">
        <w:rPr>
          <w:rFonts w:eastAsia="Calibri"/>
        </w:rPr>
        <w:t>жилого помещения</w:t>
      </w:r>
      <w:r>
        <w:rPr>
          <w:rFonts w:eastAsia="Calibri"/>
        </w:rPr>
        <w:t>, которая включает в себя: плату за услуги</w:t>
      </w:r>
      <w:r w:rsidRPr="00C81D66">
        <w:rPr>
          <w:rFonts w:eastAsia="Calibri"/>
        </w:rPr>
        <w:t xml:space="preserve"> по управлению многоквартирным д</w:t>
      </w:r>
      <w:r>
        <w:rPr>
          <w:rFonts w:eastAsia="Calibri"/>
        </w:rPr>
        <w:t>омом;</w:t>
      </w:r>
      <w:r w:rsidRPr="00C81D66">
        <w:rPr>
          <w:rFonts w:eastAsia="Calibri"/>
        </w:rPr>
        <w:t xml:space="preserve"> </w:t>
      </w:r>
      <w:r>
        <w:rPr>
          <w:rFonts w:eastAsia="Calibri"/>
        </w:rPr>
        <w:t xml:space="preserve">плату </w:t>
      </w:r>
      <w:r w:rsidRPr="00C81D66">
        <w:rPr>
          <w:rFonts w:eastAsia="Calibri"/>
        </w:rPr>
        <w:t>за содержание и текущий ремонт общего имущества в многоквартирном доме</w:t>
      </w:r>
      <w:r>
        <w:rPr>
          <w:rFonts w:eastAsia="Calibri"/>
        </w:rPr>
        <w:t>; плату за холодную и</w:t>
      </w:r>
      <w:r w:rsidRPr="00C81D66">
        <w:rPr>
          <w:rFonts w:eastAsia="Calibri"/>
        </w:rPr>
        <w:t xml:space="preserve">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</w:r>
      <w:r w:rsidRPr="00F43B2C">
        <w:rPr>
          <w:rFonts w:eastAsia="Calibri"/>
        </w:rPr>
        <w:t xml:space="preserve"> если гражданином не заключен прямой договор с </w:t>
      </w:r>
      <w:r>
        <w:rPr>
          <w:rFonts w:eastAsia="Calibri"/>
        </w:rPr>
        <w:t>ресурсо</w:t>
      </w:r>
      <w:r w:rsidRPr="00F43B2C">
        <w:rPr>
          <w:rFonts w:eastAsia="Calibri"/>
        </w:rPr>
        <w:t>снабжающей</w:t>
      </w:r>
      <w:r>
        <w:rPr>
          <w:rFonts w:eastAsia="Calibri"/>
        </w:rPr>
        <w:t xml:space="preserve"> организацией).</w:t>
      </w:r>
    </w:p>
    <w:p w14:paraId="44308DC3" w14:textId="1CE032AC" w:rsidR="003044AC" w:rsidRPr="00E376FA" w:rsidRDefault="003044AC" w:rsidP="003F7023">
      <w:pPr>
        <w:spacing w:after="0" w:line="276" w:lineRule="auto"/>
        <w:ind w:firstLine="567"/>
        <w:jc w:val="both"/>
        <w:rPr>
          <w:rFonts w:eastAsia="Calibri"/>
          <w:color w:val="FF0000"/>
        </w:rPr>
      </w:pPr>
      <w:r w:rsidRPr="0060352E">
        <w:rPr>
          <w:rFonts w:eastAsia="Calibri"/>
        </w:rPr>
        <w:t>При этом, плата за содержание жилого помещения не регулируется государством, её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компаний), либо в договоре управления домом.</w:t>
      </w:r>
      <w:r w:rsidRPr="00E376FA">
        <w:rPr>
          <w:rFonts w:eastAsia="Calibri"/>
          <w:color w:val="FF0000"/>
        </w:rPr>
        <w:t xml:space="preserve">  </w:t>
      </w:r>
    </w:p>
    <w:p w14:paraId="15BB4B62" w14:textId="1D402CB7" w:rsidR="003044AC" w:rsidRDefault="003044AC" w:rsidP="003F7023">
      <w:pPr>
        <w:spacing w:after="0" w:line="276" w:lineRule="auto"/>
        <w:ind w:firstLine="567"/>
        <w:jc w:val="both"/>
        <w:rPr>
          <w:rFonts w:eastAsia="Calibri"/>
        </w:rPr>
      </w:pPr>
      <w:r w:rsidRPr="004E7BB7">
        <w:rPr>
          <w:rFonts w:eastAsia="Calibri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7" w:history="1">
        <w:r w:rsidRPr="004E7BB7">
          <w:rPr>
            <w:rStyle w:val="a3"/>
            <w:rFonts w:eastAsia="Calibri"/>
            <w:color w:val="auto"/>
          </w:rPr>
          <w:t>www.jsn.admhmao.ru</w:t>
        </w:r>
      </w:hyperlink>
      <w:r w:rsidRPr="004E7BB7">
        <w:rPr>
          <w:rFonts w:eastAsia="Calibri"/>
        </w:rPr>
        <w:t>.</w:t>
      </w:r>
    </w:p>
    <w:p w14:paraId="223E9DE6" w14:textId="08852A2E" w:rsidR="0001172D" w:rsidRDefault="004E7BB7" w:rsidP="003F7023">
      <w:pPr>
        <w:spacing w:after="0" w:line="276" w:lineRule="auto"/>
        <w:ind w:firstLine="567"/>
        <w:jc w:val="both"/>
        <w:rPr>
          <w:szCs w:val="28"/>
        </w:rPr>
      </w:pPr>
      <w:r>
        <w:rPr>
          <w:rFonts w:eastAsia="Calibri"/>
        </w:rPr>
        <w:t>Установление нормативов потребления коммунальных услуг (за исключением нормативов накопления ТКО) осуществляется Департаментом строительства</w:t>
      </w:r>
      <w:r w:rsidR="0001172D">
        <w:rPr>
          <w:rFonts w:eastAsia="Calibri"/>
        </w:rPr>
        <w:t xml:space="preserve"> </w:t>
      </w:r>
      <w:r w:rsidR="0001172D">
        <w:rPr>
          <w:rFonts w:eastAsia="Times New Roman"/>
          <w:szCs w:val="28"/>
          <w:lang w:eastAsia="ru-RU"/>
        </w:rPr>
        <w:t>и жилищно-коммунального комплекса Ханты-Мансийского автономного округа – Югры.</w:t>
      </w:r>
    </w:p>
    <w:p w14:paraId="112E6531" w14:textId="3AE2AD29" w:rsidR="003044AC" w:rsidRPr="0001172D" w:rsidRDefault="003044AC" w:rsidP="003F7023">
      <w:pPr>
        <w:spacing w:after="0" w:line="276" w:lineRule="auto"/>
        <w:ind w:firstLine="567"/>
        <w:jc w:val="both"/>
        <w:rPr>
          <w:rFonts w:eastAsia="Calibri"/>
        </w:rPr>
      </w:pPr>
      <w:r w:rsidRPr="0001172D"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Югры. </w:t>
      </w:r>
    </w:p>
    <w:p w14:paraId="03FFC178" w14:textId="77777777" w:rsidR="003044AC" w:rsidRPr="0001172D" w:rsidRDefault="003044AC" w:rsidP="003F7023">
      <w:pPr>
        <w:spacing w:after="0" w:line="276" w:lineRule="auto"/>
        <w:ind w:firstLine="567"/>
        <w:jc w:val="both"/>
        <w:rPr>
          <w:rFonts w:eastAsia="Calibri"/>
          <w:bCs/>
        </w:rPr>
      </w:pPr>
      <w:r w:rsidRPr="0001172D">
        <w:rPr>
          <w:rFonts w:eastAsia="Calibri"/>
          <w:bCs/>
        </w:rPr>
        <w:t xml:space="preserve">Для обеспечения доступности коммунальных услуг на территории Ханты-Мансийского автономного округа – Югры создана нормативная правовая база по социальной адресной поддержке на оплату жилого помещения и коммунальных услуг. </w:t>
      </w:r>
    </w:p>
    <w:p w14:paraId="05ADCBA0" w14:textId="77777777" w:rsidR="003044AC" w:rsidRPr="0001172D" w:rsidRDefault="003044AC" w:rsidP="003F7023">
      <w:pPr>
        <w:spacing w:after="0" w:line="276" w:lineRule="auto"/>
        <w:ind w:firstLine="567"/>
        <w:jc w:val="both"/>
        <w:rPr>
          <w:rFonts w:eastAsia="Calibri"/>
          <w:bCs/>
        </w:rPr>
      </w:pPr>
      <w:r w:rsidRPr="0001172D">
        <w:rPr>
          <w:rFonts w:eastAsia="Calibri"/>
          <w:bCs/>
        </w:rPr>
        <w:t xml:space="preserve">Поддержка по оплате жилищно-коммунальных услуг осуществляется отдельным категориям граждан в виде компенсации расходов на оплату жилищно-коммунальных услуг в размере от 50 до 100 процентов и субсидии на оплату жилого помещения и коммунальных услуг, расчет которых производится исходя из норматива площади жилого помещения, установленного законодательством Ханты-Мансийского автономного округа – Югры, нормативов потребления коммунальных услуг, тарифов на оплату </w:t>
      </w:r>
      <w:r w:rsidRPr="0001172D">
        <w:rPr>
          <w:rFonts w:eastAsia="Calibri"/>
          <w:bCs/>
        </w:rPr>
        <w:lastRenderedPageBreak/>
        <w:t>жилого помещения и коммунальных услуг, установленных в соответствии с действующим законодательством.</w:t>
      </w:r>
    </w:p>
    <w:p w14:paraId="776960FC" w14:textId="6ED5D884" w:rsidR="003044AC" w:rsidRPr="0001172D" w:rsidRDefault="003044AC" w:rsidP="003F7023">
      <w:pPr>
        <w:spacing w:after="0" w:line="276" w:lineRule="auto"/>
        <w:ind w:firstLine="567"/>
        <w:jc w:val="both"/>
        <w:rPr>
          <w:rFonts w:eastAsia="Calibri"/>
        </w:rPr>
      </w:pPr>
      <w:r w:rsidRPr="0001172D">
        <w:rPr>
          <w:rFonts w:eastAsia="Calibri"/>
        </w:rPr>
        <w:t xml:space="preserve">Для получения разъяснений и предоставления мер социальной поддержки по оплате за жилищные и коммунальные услуги необходимо обращаться в органы социальной защиты населения, контакты которых размещены </w:t>
      </w:r>
      <w:r w:rsidRPr="0001172D">
        <w:t>на официальном сайте</w:t>
      </w:r>
      <w:r w:rsidRPr="0001172D">
        <w:rPr>
          <w:rFonts w:eastAsia="Calibri"/>
        </w:rPr>
        <w:t xml:space="preserve"> </w:t>
      </w:r>
      <w:r w:rsidRPr="0001172D">
        <w:t xml:space="preserve">Департамента социального развития Ханты-Мансийского автономного округа – Югры </w:t>
      </w:r>
      <w:hyperlink r:id="rId8" w:history="1">
        <w:r w:rsidRPr="0001172D">
          <w:rPr>
            <w:rStyle w:val="a3"/>
            <w:color w:val="auto"/>
          </w:rPr>
          <w:t>http://www.depsr.admhmao.ru/</w:t>
        </w:r>
      </w:hyperlink>
      <w:r w:rsidRPr="0001172D">
        <w:t xml:space="preserve"> </w:t>
      </w:r>
      <w:r w:rsidRPr="0001172D">
        <w:rPr>
          <w:rFonts w:eastAsia="Calibri"/>
        </w:rPr>
        <w:t>в нижней части страницы</w:t>
      </w:r>
      <w:r w:rsidRPr="0001172D">
        <w:t xml:space="preserve"> раздела «Контакты», также </w:t>
      </w:r>
      <w:r w:rsidRPr="0001172D">
        <w:rPr>
          <w:rFonts w:eastAsia="Calibri"/>
        </w:rPr>
        <w:t>получить консультацию можно на единой горячей линии «Контакт-центра» по номеру: 8-800-301-44-43, с 09:00 до 21:00 часов ежедневно.</w:t>
      </w:r>
    </w:p>
    <w:p w14:paraId="43A6A3C5" w14:textId="5598BD7B" w:rsidR="003044AC" w:rsidRDefault="003044AC" w:rsidP="001B34BE">
      <w:pPr>
        <w:spacing w:line="276" w:lineRule="auto"/>
        <w:ind w:firstLine="567"/>
        <w:jc w:val="both"/>
        <w:rPr>
          <w:color w:val="FF0000"/>
        </w:rPr>
      </w:pPr>
    </w:p>
    <w:sectPr w:rsidR="0030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A3"/>
    <w:rsid w:val="0001172D"/>
    <w:rsid w:val="00015458"/>
    <w:rsid w:val="000A4B68"/>
    <w:rsid w:val="001B34BE"/>
    <w:rsid w:val="001F5105"/>
    <w:rsid w:val="002161DB"/>
    <w:rsid w:val="002A59CF"/>
    <w:rsid w:val="003044AC"/>
    <w:rsid w:val="00362EA9"/>
    <w:rsid w:val="00383776"/>
    <w:rsid w:val="0039573B"/>
    <w:rsid w:val="003F7023"/>
    <w:rsid w:val="004E7BB7"/>
    <w:rsid w:val="0060352E"/>
    <w:rsid w:val="00676500"/>
    <w:rsid w:val="00701C30"/>
    <w:rsid w:val="0074743D"/>
    <w:rsid w:val="00944ACF"/>
    <w:rsid w:val="00964AA3"/>
    <w:rsid w:val="00A170A3"/>
    <w:rsid w:val="00AC03F1"/>
    <w:rsid w:val="00B168C0"/>
    <w:rsid w:val="00B708F0"/>
    <w:rsid w:val="00B9515B"/>
    <w:rsid w:val="00C949B2"/>
    <w:rsid w:val="00DE7039"/>
    <w:rsid w:val="00E376FA"/>
    <w:rsid w:val="00E86152"/>
    <w:rsid w:val="00EB4218"/>
    <w:rsid w:val="00F8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BC2B"/>
  <w15:chartTrackingRefBased/>
  <w15:docId w15:val="{CFDA7FCA-C6EE-4029-8063-77C9CA59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razdel">
    <w:name w:val="title_razdel"/>
    <w:rsid w:val="001B34BE"/>
  </w:style>
  <w:style w:type="character" w:styleId="a3">
    <w:name w:val="Hyperlink"/>
    <w:rsid w:val="001B34BE"/>
    <w:rPr>
      <w:color w:val="0000FF"/>
      <w:u w:val="single"/>
    </w:rPr>
  </w:style>
  <w:style w:type="paragraph" w:styleId="a4">
    <w:name w:val="No Spacing"/>
    <w:uiPriority w:val="1"/>
    <w:qFormat/>
    <w:rsid w:val="003044A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3044AC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B951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sr.admhma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sn.admhma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as.fas.gov.ru/calc_ku/map/" TargetMode="External"/><Relationship Id="rId5" Type="http://schemas.openxmlformats.org/officeDocument/2006/relationships/hyperlink" Target="https://rst.admhmao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74577&amp;dst=10003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Abdrashitov</dc:creator>
  <cp:keywords/>
  <dc:description/>
  <cp:lastModifiedBy>Roman Abdrashitov</cp:lastModifiedBy>
  <cp:revision>63</cp:revision>
  <cp:lastPrinted>2024-04-25T10:39:00Z</cp:lastPrinted>
  <dcterms:created xsi:type="dcterms:W3CDTF">2024-04-25T04:53:00Z</dcterms:created>
  <dcterms:modified xsi:type="dcterms:W3CDTF">2024-04-26T06:27:00Z</dcterms:modified>
</cp:coreProperties>
</file>