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83" w:rsidRDefault="00450683">
      <w:pPr>
        <w:pStyle w:val="ConsPlusTitlePage"/>
      </w:pPr>
      <w:bookmarkStart w:id="0" w:name="_GoBack"/>
      <w:bookmarkEnd w:id="0"/>
    </w:p>
    <w:p w:rsidR="00450683" w:rsidRDefault="00450683">
      <w:pPr>
        <w:pStyle w:val="ConsPlusNormal"/>
        <w:jc w:val="both"/>
        <w:outlineLvl w:val="0"/>
      </w:pPr>
    </w:p>
    <w:p w:rsidR="00450683" w:rsidRDefault="00450683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450683" w:rsidRDefault="00450683">
      <w:pPr>
        <w:pStyle w:val="ConsPlusTitle"/>
        <w:jc w:val="center"/>
      </w:pPr>
    </w:p>
    <w:p w:rsidR="00450683" w:rsidRDefault="00450683">
      <w:pPr>
        <w:pStyle w:val="ConsPlusTitle"/>
        <w:jc w:val="center"/>
      </w:pPr>
      <w:r>
        <w:t>ПОСТАНОВЛЕНИЕ</w:t>
      </w:r>
    </w:p>
    <w:p w:rsidR="00450683" w:rsidRDefault="00450683">
      <w:pPr>
        <w:pStyle w:val="ConsPlusTitle"/>
        <w:jc w:val="center"/>
      </w:pPr>
      <w:r>
        <w:t>от 2 апреля 2021 г. N 102-п</w:t>
      </w:r>
    </w:p>
    <w:p w:rsidR="00450683" w:rsidRDefault="00450683">
      <w:pPr>
        <w:pStyle w:val="ConsPlusTitle"/>
        <w:jc w:val="center"/>
      </w:pPr>
    </w:p>
    <w:p w:rsidR="00450683" w:rsidRDefault="00450683">
      <w:pPr>
        <w:pStyle w:val="ConsPlusTitle"/>
        <w:jc w:val="center"/>
      </w:pPr>
      <w:r>
        <w:t xml:space="preserve">О ГОСУДАРСТВЕННОЙ ИНФОРМАЦИОННОЙ СИСТЕМЕ </w:t>
      </w:r>
      <w:proofErr w:type="gramStart"/>
      <w:r>
        <w:t>ХАНТЫ-МАНСИЙСКОГО</w:t>
      </w:r>
      <w:proofErr w:type="gramEnd"/>
    </w:p>
    <w:p w:rsidR="00450683" w:rsidRDefault="00450683">
      <w:pPr>
        <w:pStyle w:val="ConsPlusTitle"/>
        <w:jc w:val="center"/>
      </w:pPr>
      <w:r>
        <w:t>АВТОНОМНОГО ОКРУГА - ЮГРЫ "ЕДИНАЯ ИНФОРМАЦИОННАЯ БАЗА</w:t>
      </w:r>
    </w:p>
    <w:p w:rsidR="00450683" w:rsidRDefault="00450683">
      <w:pPr>
        <w:pStyle w:val="ConsPlusTitle"/>
        <w:jc w:val="center"/>
      </w:pPr>
      <w:r>
        <w:t>ДОМАШНИХ ЖИВОТНЫХ И ЖИВОТНЫХ БЕЗ ВЛАДЕЛЬЦЕВ"</w:t>
      </w: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 июля 2013 года N 61-оз "О государственных информационных системах Ханты-Мансийского автономного округа - Югры", учитывая решение Общественного совета при Департаменте информационных технологий и цифрового развития Ханты-Мансийского автономного округа - Югры (протокол заседания от 25 марта 2021 года N 64), Правительство Ханты-Мансийского автономного округа - Югры постановляет:</w:t>
      </w:r>
      <w:proofErr w:type="gramEnd"/>
    </w:p>
    <w:p w:rsidR="00450683" w:rsidRDefault="00450683">
      <w:pPr>
        <w:pStyle w:val="ConsPlusNormal"/>
        <w:spacing w:before="220"/>
        <w:ind w:firstLine="540"/>
        <w:jc w:val="both"/>
      </w:pPr>
      <w:r>
        <w:t xml:space="preserve">1. Создать государственную информационную систему Ханты-Мансийского автономного округа - Югры "Единая информационная база домашних животных и животных без владельцев" (АИС "Домашние животные") (далее - Система),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ней.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2. Определить: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2.1. Департамент информационных технологий и цифрового развития Ханты-Мансийского автономного округа - Югры государственным заказчиком работ по сопровождению и развитию Системы, а также оператором инфраструктуры Системы.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2.2. Ветеринарную службу Ханты-Мансийского автономного округа - Югры оператором Системы.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 xml:space="preserve">3. Установить, что финансирование расходов, связанных с обеспечением функционирования и развития Системы, осуществляется в соответствии с государственной </w:t>
      </w:r>
      <w:hyperlink r:id="rId6" w:history="1">
        <w:r>
          <w:rPr>
            <w:color w:val="0000FF"/>
          </w:rPr>
          <w:t>программой</w:t>
        </w:r>
      </w:hyperlink>
      <w:r>
        <w:t xml:space="preserve"> Ханты-Мансийского автономного округа - Югры "Цифровое развитие Ханты-Мансийского автономного округа - Югры", утвержденной постановлением Правительства Ханты-Мансийского автономного округа - Югры от 5 октября 2018 года N 353-п.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Normal"/>
        <w:jc w:val="right"/>
      </w:pPr>
      <w:r>
        <w:t>Губернатор</w:t>
      </w:r>
    </w:p>
    <w:p w:rsidR="00450683" w:rsidRDefault="00450683">
      <w:pPr>
        <w:pStyle w:val="ConsPlusNormal"/>
        <w:jc w:val="right"/>
      </w:pPr>
      <w:r>
        <w:t>Ханты-Мансийского</w:t>
      </w:r>
    </w:p>
    <w:p w:rsidR="00450683" w:rsidRDefault="00450683">
      <w:pPr>
        <w:pStyle w:val="ConsPlusNormal"/>
        <w:jc w:val="right"/>
      </w:pPr>
      <w:r>
        <w:t>автономного округа - Югры</w:t>
      </w:r>
    </w:p>
    <w:p w:rsidR="00450683" w:rsidRDefault="00450683">
      <w:pPr>
        <w:pStyle w:val="ConsPlusNormal"/>
        <w:jc w:val="right"/>
      </w:pPr>
      <w:r>
        <w:t>Н.В.КОМАРОВА</w:t>
      </w: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Normal"/>
        <w:jc w:val="right"/>
        <w:outlineLvl w:val="0"/>
      </w:pPr>
      <w:r>
        <w:t>Приложение</w:t>
      </w:r>
    </w:p>
    <w:p w:rsidR="00450683" w:rsidRDefault="00450683">
      <w:pPr>
        <w:pStyle w:val="ConsPlusNormal"/>
        <w:jc w:val="right"/>
      </w:pPr>
      <w:r>
        <w:t>к постановлению Правительства</w:t>
      </w:r>
    </w:p>
    <w:p w:rsidR="00450683" w:rsidRDefault="00450683">
      <w:pPr>
        <w:pStyle w:val="ConsPlusNormal"/>
        <w:jc w:val="right"/>
      </w:pPr>
      <w:r>
        <w:t>Ханты-Мансийского</w:t>
      </w:r>
    </w:p>
    <w:p w:rsidR="00450683" w:rsidRDefault="00450683">
      <w:pPr>
        <w:pStyle w:val="ConsPlusNormal"/>
        <w:jc w:val="right"/>
      </w:pPr>
      <w:r>
        <w:t>автономного округа - Югры</w:t>
      </w:r>
    </w:p>
    <w:p w:rsidR="00450683" w:rsidRDefault="00450683">
      <w:pPr>
        <w:pStyle w:val="ConsPlusNormal"/>
        <w:jc w:val="right"/>
      </w:pPr>
      <w:r>
        <w:t>от 2 апреля 2021 года N 102-п</w:t>
      </w: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Title"/>
        <w:jc w:val="center"/>
      </w:pPr>
      <w:bookmarkStart w:id="1" w:name="P33"/>
      <w:bookmarkEnd w:id="1"/>
      <w:r>
        <w:t>ПОЛОЖЕНИЕ</w:t>
      </w:r>
    </w:p>
    <w:p w:rsidR="00450683" w:rsidRDefault="00450683">
      <w:pPr>
        <w:pStyle w:val="ConsPlusTitle"/>
        <w:jc w:val="center"/>
      </w:pPr>
      <w:r>
        <w:lastRenderedPageBreak/>
        <w:t xml:space="preserve">О ГОСУДАРСТВЕННОЙ ИНФОРМАЦИОННОЙ СИСТЕМЕ </w:t>
      </w:r>
      <w:proofErr w:type="gramStart"/>
      <w:r>
        <w:t>ХАНТЫ-МАНСИЙСКОГО</w:t>
      </w:r>
      <w:proofErr w:type="gramEnd"/>
    </w:p>
    <w:p w:rsidR="00450683" w:rsidRDefault="00450683">
      <w:pPr>
        <w:pStyle w:val="ConsPlusTitle"/>
        <w:jc w:val="center"/>
      </w:pPr>
      <w:r>
        <w:t>АВТОНОМНОГО ОКРУГА - ЮГРЫ "ЕДИНАЯ ИНФОРМАЦИОННАЯ БАЗА</w:t>
      </w:r>
    </w:p>
    <w:p w:rsidR="00450683" w:rsidRDefault="00450683">
      <w:pPr>
        <w:pStyle w:val="ConsPlusTitle"/>
        <w:jc w:val="center"/>
      </w:pPr>
      <w:r>
        <w:t>ДОМАШНИХ ЖИВОТНЫХ И ЖИВОТНЫХ БЕЗ ВЛАДЕЛЬЦЕВ"</w:t>
      </w:r>
    </w:p>
    <w:p w:rsidR="00450683" w:rsidRDefault="00450683">
      <w:pPr>
        <w:pStyle w:val="ConsPlusTitle"/>
        <w:jc w:val="center"/>
      </w:pPr>
      <w:r>
        <w:t>(ДАЛЕЕ - ПОЛОЖЕНИЕ)</w:t>
      </w: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Title"/>
        <w:jc w:val="center"/>
        <w:outlineLvl w:val="1"/>
      </w:pPr>
      <w:r>
        <w:t>1. Общие положения</w:t>
      </w: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Normal"/>
        <w:ind w:firstLine="540"/>
        <w:jc w:val="both"/>
      </w:pPr>
      <w:r>
        <w:t>1.1. Положение определяет назначение и функции государственной информационной системы Ханты-Мансийского автономного округа - Югры "Единая информационная база домашних животных и животных без владельцев" (АИС "Домашние животные") (далее - Система, автономный округ).</w:t>
      </w: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Title"/>
        <w:jc w:val="center"/>
        <w:outlineLvl w:val="1"/>
      </w:pPr>
      <w:r>
        <w:t>2. Цели создания и назначение Системы</w:t>
      </w: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Normal"/>
        <w:ind w:firstLine="540"/>
        <w:jc w:val="both"/>
      </w:pPr>
      <w:r>
        <w:t>2.1. Система создана в целях повышения эффективности деятельности Ветеринарной службы автономного округа (далее - Служба), ее подведомственных учреждений, организаций, осуществляющих отлов и содержание животных без владельцев, как системы по выявлению, предупреждению, локализации распространения заболеваний, общих для домашних животных и человека, за счет создания системы учета животных в автономном округе.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 xml:space="preserve">2.2. Система предназначена </w:t>
      </w:r>
      <w:proofErr w:type="gramStart"/>
      <w:r>
        <w:t>для</w:t>
      </w:r>
      <w:proofErr w:type="gramEnd"/>
      <w:r>
        <w:t>: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2.2.1. Формирования единого цифрового информационного ресурса описательных и пространственных данных (далее - объекты учета Системы) о: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животных на территории автономного округа (включая данные о домашних животных, животных без владельцев);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идентификационных данных домашнего животного, статусе (наличии владельца).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2.2.2. Совокупности ветеринарных назначений и мероприятий, выполняемых в течение жизни животного.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2.2.3. Мероприятий в отношении животных без владельцев, выполняемых участниками Системы в пределах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животных.</w:t>
      </w: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Title"/>
        <w:jc w:val="center"/>
        <w:outlineLvl w:val="1"/>
      </w:pPr>
      <w:r>
        <w:t>3. Задачи Системы</w:t>
      </w: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Normal"/>
        <w:ind w:firstLine="540"/>
        <w:jc w:val="both"/>
      </w:pPr>
      <w:bookmarkStart w:id="2" w:name="P55"/>
      <w:bookmarkEnd w:id="2"/>
      <w:r>
        <w:t>3.1. Предоставление организациям, осуществляющим ветеринарную деятельность в автономном округе, интерфейса для регистрации и введения данных о домашних животных, имеющих владельцев, включая сведения о ветеринарных назначениях, выполненных манипуляциях, смене владельцев.</w:t>
      </w:r>
    </w:p>
    <w:p w:rsidR="00450683" w:rsidRDefault="00450683">
      <w:pPr>
        <w:pStyle w:val="ConsPlusNormal"/>
        <w:spacing w:before="220"/>
        <w:ind w:firstLine="540"/>
        <w:jc w:val="both"/>
      </w:pPr>
      <w:bookmarkStart w:id="3" w:name="P56"/>
      <w:bookmarkEnd w:id="3"/>
      <w:r>
        <w:t>3.2. Предоставление организациям, осуществляющим деятельность по отлову и содержанию животных без владельцев, интерфейса для регистрации и введения данных о животных без владельцев, включая сведения о проведенных мероприятиях, ветеринарных манипуляциях, текущем состоянии и местонахождении.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Предоставление организациям, осуществляющим деятельность по распределению, предоставлению и контролю за расходованием субвенций на реализацию мероприятий, предусмотренных </w:t>
      </w:r>
      <w:hyperlink r:id="rId7" w:history="1">
        <w:r>
          <w:rPr>
            <w:color w:val="0000FF"/>
          </w:rPr>
          <w:t>Законом</w:t>
        </w:r>
      </w:hyperlink>
      <w:r>
        <w:t xml:space="preserve"> автономного округа от 10 декабря 2019 года N 89-оз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</w:t>
      </w:r>
      <w:r>
        <w:lastRenderedPageBreak/>
        <w:t>животными без владельцев", инструмента по учету объема</w:t>
      </w:r>
      <w:proofErr w:type="gramEnd"/>
      <w:r>
        <w:t xml:space="preserve"> предоставленных субвенций и учета объема услуг, оказанных в рамках предоставленных субвенций.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 xml:space="preserve">3.4. Предоставление населению доступа </w:t>
      </w:r>
      <w:proofErr w:type="gramStart"/>
      <w:r>
        <w:t>к открытой части данных для повышения уровня информированности о текущей ситуации в автономном округе в области</w:t>
      </w:r>
      <w:proofErr w:type="gramEnd"/>
      <w:r>
        <w:t xml:space="preserve"> обращения с домашними животными и оптимизации процесса поиска владельцев, потерявшихся или найденных животных.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3.5. Предоставление сервиса поиска домашнего животного по идентификационным и описательным характеристикам в едином реестре учета домашних животных в соответствии с ограничениями доступного информационного ресурса, определяемыми правами пользователя.</w:t>
      </w: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Title"/>
        <w:jc w:val="center"/>
        <w:outlineLvl w:val="1"/>
      </w:pPr>
      <w:r>
        <w:t>4. Участники Системы</w:t>
      </w: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Normal"/>
        <w:ind w:firstLine="540"/>
        <w:jc w:val="both"/>
      </w:pPr>
      <w:r>
        <w:t>4.1. Участниками Системы являются: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4.1.1. Оператор Системы.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4.1.2. Оператор инфраструктуры Системы.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 xml:space="preserve">4.1.3. Пользователи Системы - уполномоченные сотрудники Службы, ее подведомственных учреждений, организаций, указанных в </w:t>
      </w:r>
      <w:hyperlink w:anchor="P55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56" w:history="1">
        <w:r>
          <w:rPr>
            <w:color w:val="0000FF"/>
          </w:rPr>
          <w:t>3.2</w:t>
        </w:r>
      </w:hyperlink>
      <w:r>
        <w:t xml:space="preserve"> Положения.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4.1.4. Иные лица, имеющие доступ к открытой части данных Системы.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4.2. Оператор Системы: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4.2.1. Определяет: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состав пользователей Системы;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совместно с оператором инфраструктуры Системы порядок информационной поддержки участников Системы и осуществляет такую поддержку;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направления развития Системы;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состав и структуру сведений, подлежащих размещению в Системе.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4.2.2. Осуществляет: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координацию деятельности пользователей Системы;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методологическую поддержку пользователей Системы.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4.2.3. Обеспечивает принятие правовых, организационных мер, обеспечивающих защиту информации, персональных данных, обрабатываемых в Системе.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4.2.4. Формирует, ведет и актуализирует классификаторы и справочники Системы.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4.3. Оператор инфраструктуры Системы: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4.3.1. Обеспечивает: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бесперебойное функционирование Системы;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резервное копирование данных.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4.3.2. Осуществляет: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lastRenderedPageBreak/>
        <w:t>техническую поддержку Участников Системы;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процедуру регистрации Пользователей Системы.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4.3.3. Определяет порядок технической поддержки Участников Системы.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4.4. Пользователи Системы обеспечивают: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защиту информации, доступ к которой ограничен;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соблюдение режима обработки и использования персональных данных;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размещение информации в Системе, а также своевременность, полноту и правильность ее размещения.</w:t>
      </w: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Title"/>
        <w:jc w:val="center"/>
        <w:outlineLvl w:val="1"/>
      </w:pPr>
      <w:r>
        <w:t>5. Порядок использования Системы</w:t>
      </w: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Normal"/>
        <w:ind w:firstLine="540"/>
        <w:jc w:val="both"/>
      </w:pPr>
      <w:r>
        <w:t>5.1. Доступ к данным Системы, не относящимся к открытым данным, имеют авторизованные пользователи.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5.2. Порядок получения доступа к функциям и информационному ресурсу Системы определяется правами доступа пользователя в Системе, назначенными оператором Системы.</w:t>
      </w: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Title"/>
        <w:jc w:val="center"/>
        <w:outlineLvl w:val="1"/>
      </w:pPr>
      <w:r>
        <w:t>6. Информационное взаимодействие Системы с иными</w:t>
      </w:r>
    </w:p>
    <w:p w:rsidR="00450683" w:rsidRDefault="00450683">
      <w:pPr>
        <w:pStyle w:val="ConsPlusTitle"/>
        <w:jc w:val="center"/>
      </w:pPr>
      <w:r>
        <w:t>информационными системами</w:t>
      </w: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Normal"/>
        <w:ind w:firstLine="540"/>
        <w:jc w:val="both"/>
      </w:pPr>
      <w:r>
        <w:t>6.1. Информационное и технологическое взаимодействие Системы с иными информационными системами осуществляется путем интеграции программной и технологической инфраструктуры, обеспечивающей обмен информацией на основе соглашений, заключаемых оператором Системы с операторами иных информационных систем.</w:t>
      </w:r>
    </w:p>
    <w:p w:rsidR="00450683" w:rsidRDefault="00450683">
      <w:pPr>
        <w:pStyle w:val="ConsPlusNormal"/>
        <w:spacing w:before="220"/>
        <w:ind w:firstLine="540"/>
        <w:jc w:val="both"/>
      </w:pPr>
      <w:r>
        <w:t>6.2. Соглашение об информационном взаимодействии информационных систем должно определять информацию, обмен которой будет осуществляться, устанавливать регламент взаимодействия операторов информационных систем.</w:t>
      </w: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Normal"/>
        <w:jc w:val="both"/>
      </w:pPr>
    </w:p>
    <w:p w:rsidR="00450683" w:rsidRDefault="004506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570" w:rsidRDefault="00123570"/>
    <w:sectPr w:rsidR="00123570" w:rsidSect="000D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83"/>
    <w:rsid w:val="00123570"/>
    <w:rsid w:val="00450683"/>
    <w:rsid w:val="009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43D3BB2DC6BE440573BEBAC0367670D8D7F5F9CC2E9BF8215EEBFE2B7BFCDB00CB9D0146B350079381DA364C235339BFnDN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3D3BB2DC6BE440573BEBAC0367670D8D7F5F9CC289DF8215CEBFE2B7BFCDB00CB9D0154B308089583CC3D1B6C156CB0DCA3B4E52C51EAE416nCN0H" TargetMode="External"/><Relationship Id="rId5" Type="http://schemas.openxmlformats.org/officeDocument/2006/relationships/hyperlink" Target="consultantplus://offline/ref=3343D3BB2DC6BE440573BEBAC0367670D8D7F5F9CF2F9BF6205EEBFE2B7BFCDB00CB9D0154B3080B9183C4354B360568F98BACA8E7314FEBFA16C2FDn0N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Корепанова</dc:creator>
  <cp:lastModifiedBy>Алена Корепанова</cp:lastModifiedBy>
  <cp:revision>1</cp:revision>
  <dcterms:created xsi:type="dcterms:W3CDTF">2022-03-22T07:13:00Z</dcterms:created>
  <dcterms:modified xsi:type="dcterms:W3CDTF">2022-03-22T07:19:00Z</dcterms:modified>
</cp:coreProperties>
</file>