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D6BBF" w14:textId="69231E8E" w:rsidR="00BF0E1E" w:rsidRPr="00BF0E1E" w:rsidRDefault="002829DC" w:rsidP="00BF0E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(Редакция </w:t>
      </w:r>
      <w:r w:rsidR="00BF0E1E" w:rsidRPr="00BF0E1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14.12.2021 № 336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bookmarkStart w:id="0" w:name="_GoBack"/>
      <w:bookmarkEnd w:id="0"/>
    </w:p>
    <w:p w14:paraId="00701552" w14:textId="77777777" w:rsidR="00BF0E1E" w:rsidRDefault="00BF0E1E" w:rsidP="00BF0E1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C26D98E" w14:textId="5F2097E5" w:rsidR="00D94064" w:rsidRPr="00BF0E1E" w:rsidRDefault="00BF0E1E" w:rsidP="00BF0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4CB6026C" w14:textId="77777777" w:rsidR="00BF0E1E" w:rsidRPr="0091405B" w:rsidRDefault="00BF0E1E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0E1E" w:rsidRPr="0091405B" w:rsidSect="002829DC">
          <w:headerReference w:type="default" r:id="rId8"/>
          <w:footerReference w:type="even" r:id="rId9"/>
          <w:headerReference w:type="first" r:id="rId10"/>
          <w:type w:val="continuous"/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14:paraId="564605B2" w14:textId="77777777" w:rsidR="00D94064" w:rsidRPr="00BF0E1E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7"/>
        <w:gridCol w:w="509"/>
        <w:gridCol w:w="2141"/>
        <w:gridCol w:w="1741"/>
        <w:gridCol w:w="708"/>
        <w:gridCol w:w="610"/>
        <w:gridCol w:w="565"/>
        <w:gridCol w:w="708"/>
        <w:gridCol w:w="1522"/>
        <w:gridCol w:w="36"/>
        <w:gridCol w:w="2096"/>
      </w:tblGrid>
      <w:tr w:rsidR="00D94064" w:rsidRPr="005661AE" w14:paraId="3E0ED246" w14:textId="77777777" w:rsidTr="00BF0E1E">
        <w:trPr>
          <w:trHeight w:val="20"/>
        </w:trPr>
        <w:tc>
          <w:tcPr>
            <w:tcW w:w="1199" w:type="pct"/>
          </w:tcPr>
          <w:p w14:paraId="7C327E1A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1" w:type="pct"/>
            <w:gridSpan w:val="10"/>
          </w:tcPr>
          <w:p w14:paraId="381CA5BB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5661AE" w14:paraId="3CBA4386" w14:textId="77777777" w:rsidTr="00BF0E1E">
        <w:trPr>
          <w:trHeight w:val="20"/>
        </w:trPr>
        <w:tc>
          <w:tcPr>
            <w:tcW w:w="1199" w:type="pct"/>
          </w:tcPr>
          <w:p w14:paraId="59A58B04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1" w:type="pct"/>
            <w:gridSpan w:val="10"/>
          </w:tcPr>
          <w:p w14:paraId="3ED2EC26" w14:textId="77777777"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5661AE" w14:paraId="21634EAC" w14:textId="77777777" w:rsidTr="00BF0E1E">
        <w:trPr>
          <w:trHeight w:val="20"/>
        </w:trPr>
        <w:tc>
          <w:tcPr>
            <w:tcW w:w="1199" w:type="pct"/>
          </w:tcPr>
          <w:p w14:paraId="50BD3DBA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1" w:type="pct"/>
            <w:gridSpan w:val="10"/>
          </w:tcPr>
          <w:p w14:paraId="06F5DE71" w14:textId="77777777"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BF0E1E">
        <w:trPr>
          <w:trHeight w:val="20"/>
        </w:trPr>
        <w:tc>
          <w:tcPr>
            <w:tcW w:w="1199" w:type="pct"/>
          </w:tcPr>
          <w:p w14:paraId="79CDEA1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1" w:type="pct"/>
            <w:gridSpan w:val="10"/>
          </w:tcPr>
          <w:p w14:paraId="6B9B14E7" w14:textId="77777777" w:rsidR="00D94064" w:rsidRPr="005661AE" w:rsidRDefault="0078137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политики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BF0E1E">
        <w:trPr>
          <w:trHeight w:val="20"/>
        </w:trPr>
        <w:tc>
          <w:tcPr>
            <w:tcW w:w="1199" w:type="pct"/>
          </w:tcPr>
          <w:p w14:paraId="7078B21D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1" w:type="pct"/>
            <w:gridSpan w:val="10"/>
          </w:tcPr>
          <w:p w14:paraId="6155F613" w14:textId="77777777"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«УКСиР»);</w:t>
            </w:r>
          </w:p>
          <w:p w14:paraId="39CE1457" w14:textId="77777777"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65E01F2F"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муниципальное автономное учреждение 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77777777"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Досуговый центр «Имитуй»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«Имитуй»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6D271236" w14:textId="77777777" w:rsidTr="00BF0E1E">
        <w:trPr>
          <w:trHeight w:val="20"/>
        </w:trPr>
        <w:tc>
          <w:tcPr>
            <w:tcW w:w="1199" w:type="pct"/>
          </w:tcPr>
          <w:p w14:paraId="3F34CD87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1" w:type="pct"/>
            <w:gridSpan w:val="10"/>
          </w:tcPr>
          <w:p w14:paraId="67BD8869" w14:textId="77777777"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BF0E1E">
        <w:trPr>
          <w:trHeight w:val="20"/>
        </w:trPr>
        <w:tc>
          <w:tcPr>
            <w:tcW w:w="1199" w:type="pct"/>
          </w:tcPr>
          <w:p w14:paraId="0EF29B4E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1" w:type="pct"/>
            <w:gridSpan w:val="10"/>
          </w:tcPr>
          <w:p w14:paraId="0C3CB237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FC8AC5E"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создание условий для удовлетворения потребности населения </w:t>
            </w:r>
            <w:r w:rsidR="00BF0E1E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Pr="005661AE">
              <w:rPr>
                <w:rFonts w:ascii="Times New Roman" w:hAnsi="Times New Roman" w:cs="Times New Roman"/>
                <w:szCs w:val="22"/>
              </w:rPr>
              <w:t>района в оказании туристских услуг</w:t>
            </w:r>
          </w:p>
        </w:tc>
      </w:tr>
      <w:tr w:rsidR="00D94064" w:rsidRPr="005661AE" w14:paraId="6E7F8ADA" w14:textId="77777777" w:rsidTr="00BF0E1E">
        <w:trPr>
          <w:trHeight w:val="20"/>
        </w:trPr>
        <w:tc>
          <w:tcPr>
            <w:tcW w:w="1199" w:type="pct"/>
          </w:tcPr>
          <w:p w14:paraId="061CB80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1" w:type="pct"/>
            <w:gridSpan w:val="10"/>
          </w:tcPr>
          <w:p w14:paraId="16CD3F90" w14:textId="6A7F219C" w:rsidR="005E28BE" w:rsidRPr="005661AE" w:rsidRDefault="00BF0E1E" w:rsidP="00BF0E1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60129FA" w:rsidR="00C8738E" w:rsidRPr="005661AE" w:rsidRDefault="00BF0E1E" w:rsidP="00BF0E1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>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0F08144C" w:rsidR="00C8738E" w:rsidRPr="005661AE" w:rsidRDefault="00BF0E1E" w:rsidP="00BF0E1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>Совершенствование системы подготовки спортсменов высокого класса.</w:t>
            </w:r>
          </w:p>
          <w:p w14:paraId="759BA115" w14:textId="43FF6859" w:rsidR="00C8738E" w:rsidRPr="005661AE" w:rsidRDefault="00BF0E1E" w:rsidP="00BF0E1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 xml:space="preserve">а спортивных сооружениях 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D94064" w:rsidRPr="005661AE" w14:paraId="3655DAA3" w14:textId="77777777" w:rsidTr="00BF0E1E">
        <w:trPr>
          <w:trHeight w:val="20"/>
        </w:trPr>
        <w:tc>
          <w:tcPr>
            <w:tcW w:w="1199" w:type="pct"/>
          </w:tcPr>
          <w:p w14:paraId="2DFEC083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1" w:type="pct"/>
            <w:gridSpan w:val="10"/>
          </w:tcPr>
          <w:p w14:paraId="212C2A0C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BF0E1E">
        <w:trPr>
          <w:trHeight w:val="20"/>
        </w:trPr>
        <w:tc>
          <w:tcPr>
            <w:tcW w:w="1199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BF0E1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Целевые показатели</w:t>
            </w:r>
          </w:p>
          <w:p w14:paraId="30F9A5B5" w14:textId="3D8BA8CF" w:rsidR="00D94064" w:rsidRPr="005661AE" w:rsidRDefault="00D94064" w:rsidP="00BF0E1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661AE" w:rsidRPr="005661AE" w14:paraId="5C702620" w14:textId="77777777" w:rsidTr="00BF0E1E">
        <w:trPr>
          <w:trHeight w:val="20"/>
        </w:trPr>
        <w:tc>
          <w:tcPr>
            <w:tcW w:w="1199" w:type="pct"/>
            <w:vMerge/>
            <w:tcBorders>
              <w:top w:val="single" w:sz="4" w:space="0" w:color="auto"/>
            </w:tcBorders>
          </w:tcPr>
          <w:p w14:paraId="49A1FB7F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D94064" w:rsidRPr="005661AE" w:rsidRDefault="007C38BB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значе-ние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9ACDA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C41B691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02A765C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F761" w14:textId="0C38A6EC" w:rsidR="00D94064" w:rsidRPr="005661AE" w:rsidRDefault="00BF0E1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45DA22A6" w14:textId="654FB2CF" w:rsidR="00D94064" w:rsidRPr="005661AE" w:rsidRDefault="00BF0E1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5661AE" w:rsidRPr="005661AE" w14:paraId="3211CA4A" w14:textId="77777777" w:rsidTr="00BF0E1E">
        <w:trPr>
          <w:trHeight w:val="20"/>
        </w:trPr>
        <w:tc>
          <w:tcPr>
            <w:tcW w:w="1199" w:type="pct"/>
          </w:tcPr>
          <w:p w14:paraId="55738213" w14:textId="77777777"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6E7962" w:rsidRPr="005661AE" w:rsidRDefault="008E16A0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6E7962" w:rsidRPr="00A662A2" w:rsidRDefault="006E7962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22" w:type="pct"/>
          </w:tcPr>
          <w:p w14:paraId="75D98C76" w14:textId="4754AB73" w:rsidR="00F73C22" w:rsidRPr="005661AE" w:rsidRDefault="005661AE" w:rsidP="00BF0E1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8E16A0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«О государ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программе Ханты-Мансийского автономного округа</w:t>
            </w:r>
            <w:r w:rsidR="008E16A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52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8" w:type="pct"/>
          </w:tcPr>
          <w:p w14:paraId="19D03515" w14:textId="77777777"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02" w:type="pct"/>
          </w:tcPr>
          <w:p w14:paraId="63911CBA" w14:textId="77777777" w:rsidR="006E7962" w:rsidRPr="005661AE" w:rsidRDefault="005338B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" w:type="pct"/>
          </w:tcPr>
          <w:p w14:paraId="5107EAF4" w14:textId="77777777" w:rsidR="006E7962" w:rsidRPr="005661AE" w:rsidRDefault="001B4BF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37CD753F" w14:textId="77777777" w:rsidR="006E7962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9" w:type="pct"/>
          </w:tcPr>
          <w:p w14:paraId="6017CD39" w14:textId="77777777" w:rsidR="003F7F97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0C28EDA9" w14:textId="77777777" w:rsidR="00E766DE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6E796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193219BB" w14:textId="77777777" w:rsidR="000F51C4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3F7F97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661AE" w:rsidRPr="005661AE" w14:paraId="2FFABD26" w14:textId="77777777" w:rsidTr="00BF0E1E">
        <w:trPr>
          <w:trHeight w:val="20"/>
        </w:trPr>
        <w:tc>
          <w:tcPr>
            <w:tcW w:w="1199" w:type="pct"/>
          </w:tcPr>
          <w:p w14:paraId="39F98032" w14:textId="77777777"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3C1347" w:rsidRPr="005661AE" w:rsidRDefault="00EC3149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FD7E52C" w14:textId="77777777" w:rsidR="003C1347" w:rsidRPr="00A662A2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47ED44F3" w:rsidR="003C1347" w:rsidRPr="005661AE" w:rsidRDefault="005661AE" w:rsidP="00BF0E1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2F01E1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>
              <w:rPr>
                <w:rFonts w:ascii="Times New Roman" w:hAnsi="Times New Roman" w:cs="Times New Roman"/>
                <w:szCs w:val="22"/>
              </w:rPr>
              <w:t>.10.2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>0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«О государ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программе Ханты-Мансийского автономного округа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23628CA7" w14:textId="77777777"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14:paraId="16BAB983" w14:textId="77777777"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3C1347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5661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253" w:type="pct"/>
          </w:tcPr>
          <w:p w14:paraId="7F9BFD50" w14:textId="77777777" w:rsidR="003C1347" w:rsidRPr="005661AE" w:rsidRDefault="006120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1E51F208" w14:textId="77777777"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9" w:type="pct"/>
          </w:tcPr>
          <w:p w14:paraId="48BEDC12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5D0D7D19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69850AC3" w14:textId="77777777"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EC58F3" w:rsidRPr="005661AE" w14:paraId="63D10141" w14:textId="77777777" w:rsidTr="00BF0E1E">
        <w:trPr>
          <w:trHeight w:val="20"/>
        </w:trPr>
        <w:tc>
          <w:tcPr>
            <w:tcW w:w="1199" w:type="pct"/>
            <w:vMerge w:val="restart"/>
          </w:tcPr>
          <w:p w14:paraId="196A57F0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4" w:type="pct"/>
            <w:gridSpan w:val="8"/>
          </w:tcPr>
          <w:p w14:paraId="191C0AA4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5661AE" w14:paraId="7BC5D741" w14:textId="77777777" w:rsidTr="00BF0E1E">
        <w:trPr>
          <w:trHeight w:val="20"/>
        </w:trPr>
        <w:tc>
          <w:tcPr>
            <w:tcW w:w="1199" w:type="pct"/>
            <w:vMerge/>
          </w:tcPr>
          <w:p w14:paraId="642A05FC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EC58F3" w:rsidRPr="005661AE" w:rsidRDefault="005661A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3" w:type="pct"/>
            <w:gridSpan w:val="3"/>
          </w:tcPr>
          <w:p w14:paraId="0156F151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F7469BE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0099C81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5661AE" w14:paraId="390B292C" w14:textId="77777777" w:rsidTr="00BF0E1E">
        <w:trPr>
          <w:trHeight w:val="20"/>
        </w:trPr>
        <w:tc>
          <w:tcPr>
            <w:tcW w:w="1199" w:type="pct"/>
            <w:vMerge/>
          </w:tcPr>
          <w:p w14:paraId="6FDFC302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59117B80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330 345,1</w:t>
            </w:r>
          </w:p>
        </w:tc>
        <w:tc>
          <w:tcPr>
            <w:tcW w:w="673" w:type="pct"/>
            <w:gridSpan w:val="3"/>
          </w:tcPr>
          <w:p w14:paraId="277674A0" w14:textId="1EDFE95F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114 843,5</w:t>
            </w:r>
          </w:p>
        </w:tc>
        <w:tc>
          <w:tcPr>
            <w:tcW w:w="810" w:type="pct"/>
            <w:gridSpan w:val="3"/>
          </w:tcPr>
          <w:p w14:paraId="0664E1CA" w14:textId="7283CA3A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107 822,0</w:t>
            </w:r>
          </w:p>
        </w:tc>
        <w:tc>
          <w:tcPr>
            <w:tcW w:w="749" w:type="pct"/>
          </w:tcPr>
          <w:p w14:paraId="6736B6AE" w14:textId="13CDB28C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107 679,6</w:t>
            </w:r>
          </w:p>
        </w:tc>
      </w:tr>
      <w:tr w:rsidR="00EC58F3" w:rsidRPr="005661AE" w14:paraId="62923505" w14:textId="77777777" w:rsidTr="00BF0E1E">
        <w:trPr>
          <w:trHeight w:val="20"/>
        </w:trPr>
        <w:tc>
          <w:tcPr>
            <w:tcW w:w="1199" w:type="pct"/>
            <w:vMerge/>
          </w:tcPr>
          <w:p w14:paraId="7C374F67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gridSpan w:val="3"/>
          </w:tcPr>
          <w:p w14:paraId="37671644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14:paraId="08CE049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5661AE" w14:paraId="10EAD88F" w14:textId="77777777" w:rsidTr="00BF0E1E">
        <w:trPr>
          <w:trHeight w:val="20"/>
        </w:trPr>
        <w:tc>
          <w:tcPr>
            <w:tcW w:w="1199" w:type="pct"/>
            <w:vMerge/>
          </w:tcPr>
          <w:p w14:paraId="1E08F4CF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EC58F3" w:rsidRPr="009B4FCA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F80AF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77777777" w:rsidR="0013185E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1 775,3</w:t>
            </w:r>
          </w:p>
        </w:tc>
        <w:tc>
          <w:tcPr>
            <w:tcW w:w="673" w:type="pct"/>
            <w:gridSpan w:val="3"/>
          </w:tcPr>
          <w:p w14:paraId="6EAE17A5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810" w:type="pct"/>
            <w:gridSpan w:val="3"/>
          </w:tcPr>
          <w:p w14:paraId="27CE05A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749" w:type="pct"/>
          </w:tcPr>
          <w:p w14:paraId="25BAF8E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528,5</w:t>
            </w:r>
          </w:p>
        </w:tc>
      </w:tr>
      <w:tr w:rsidR="00F80AFE" w:rsidRPr="005661AE" w14:paraId="7CEC2933" w14:textId="77777777" w:rsidTr="00BF0E1E">
        <w:trPr>
          <w:trHeight w:val="20"/>
        </w:trPr>
        <w:tc>
          <w:tcPr>
            <w:tcW w:w="1199" w:type="pct"/>
            <w:vMerge/>
          </w:tcPr>
          <w:p w14:paraId="1C82B35A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594F796D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673" w:type="pct"/>
            <w:gridSpan w:val="3"/>
          </w:tcPr>
          <w:p w14:paraId="7292C8E2" w14:textId="58F2360B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810" w:type="pct"/>
            <w:gridSpan w:val="3"/>
          </w:tcPr>
          <w:p w14:paraId="0431815D" w14:textId="5F102FF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749" w:type="pct"/>
          </w:tcPr>
          <w:p w14:paraId="7A3C789D" w14:textId="0B0D0D1F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F80AFE" w:rsidRPr="005661AE" w14:paraId="21FDAA17" w14:textId="77777777" w:rsidTr="00BF0E1E">
        <w:trPr>
          <w:trHeight w:val="20"/>
        </w:trPr>
        <w:tc>
          <w:tcPr>
            <w:tcW w:w="1199" w:type="pct"/>
            <w:vMerge/>
          </w:tcPr>
          <w:p w14:paraId="0AF587A3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pct"/>
            <w:gridSpan w:val="3"/>
          </w:tcPr>
          <w:p w14:paraId="43C8BF3D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pct"/>
          </w:tcPr>
          <w:p w14:paraId="075D511E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0AFE" w:rsidRPr="005661AE" w14:paraId="65AE7848" w14:textId="77777777" w:rsidTr="00BF0E1E">
        <w:trPr>
          <w:trHeight w:val="20"/>
        </w:trPr>
        <w:tc>
          <w:tcPr>
            <w:tcW w:w="1199" w:type="pct"/>
            <w:vMerge/>
          </w:tcPr>
          <w:p w14:paraId="1B73050E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0EBD1171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673" w:type="pct"/>
            <w:gridSpan w:val="3"/>
          </w:tcPr>
          <w:p w14:paraId="3B5B59D7" w14:textId="0652D1DA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810" w:type="pct"/>
            <w:gridSpan w:val="3"/>
          </w:tcPr>
          <w:p w14:paraId="3A926080" w14:textId="32495BB5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749" w:type="pct"/>
          </w:tcPr>
          <w:p w14:paraId="1C8CEEB6" w14:textId="434FFB7B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EC58F3" w:rsidRPr="005661AE" w14:paraId="336A6F53" w14:textId="77777777" w:rsidTr="00BF0E1E">
        <w:trPr>
          <w:trHeight w:val="20"/>
        </w:trPr>
        <w:tc>
          <w:tcPr>
            <w:tcW w:w="1199" w:type="pct"/>
            <w:vMerge/>
          </w:tcPr>
          <w:p w14:paraId="71495CE3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EC58F3" w:rsidRPr="00F80AF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0AF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73" w:type="pct"/>
            <w:gridSpan w:val="3"/>
          </w:tcPr>
          <w:p w14:paraId="52880877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10" w:type="pct"/>
            <w:gridSpan w:val="3"/>
          </w:tcPr>
          <w:p w14:paraId="47B99FC3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9" w:type="pct"/>
          </w:tcPr>
          <w:p w14:paraId="3732D036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5661AE" w14:paraId="53613A8A" w14:textId="77777777" w:rsidTr="00BF0E1E">
        <w:trPr>
          <w:trHeight w:val="20"/>
        </w:trPr>
        <w:tc>
          <w:tcPr>
            <w:tcW w:w="1199" w:type="pct"/>
            <w:vMerge/>
          </w:tcPr>
          <w:p w14:paraId="153D967A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EC58F3" w:rsidRPr="00A662A2" w:rsidRDefault="00EC58F3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1DB059D1" w14:textId="77777777" w:rsidR="00EC58F3" w:rsidRPr="00A662A2" w:rsidRDefault="00EC58F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 w:rsidRPr="00A662A2">
              <w:rPr>
                <w:rStyle w:val="211pt"/>
                <w:rFonts w:eastAsia="Calibri"/>
              </w:rPr>
              <w:t>–</w:t>
            </w:r>
            <w:r w:rsidRPr="00A662A2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11727B13" w14:textId="787455C3" w:rsidR="00EC58F3" w:rsidRPr="00A662A2" w:rsidRDefault="00EC314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1 551,</w:t>
            </w:r>
            <w:r w:rsidR="00EC58F3"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FE83AB3" w14:textId="36FC5B81" w:rsidR="00EC58F3" w:rsidRPr="00A662A2" w:rsidRDefault="00EC314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810" w:type="pct"/>
            <w:gridSpan w:val="3"/>
          </w:tcPr>
          <w:p w14:paraId="3B20EB13" w14:textId="1DEE9FC9" w:rsidR="00EC58F3" w:rsidRPr="00A662A2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A662A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</w:tcPr>
          <w:p w14:paraId="78E71017" w14:textId="6674B3B0" w:rsidR="00EC58F3" w:rsidRPr="00A662A2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A662A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5661AE" w14:paraId="3AE2135C" w14:textId="77777777" w:rsidTr="00BF0E1E">
        <w:trPr>
          <w:trHeight w:val="20"/>
        </w:trPr>
        <w:tc>
          <w:tcPr>
            <w:tcW w:w="1199" w:type="pct"/>
            <w:vMerge/>
          </w:tcPr>
          <w:p w14:paraId="540FA775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20ABAB3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14:paraId="5B4BD193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14:paraId="06B3CD92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23B6FF00" w14:textId="77777777" w:rsidTr="00BF0E1E">
        <w:trPr>
          <w:trHeight w:val="20"/>
        </w:trPr>
        <w:tc>
          <w:tcPr>
            <w:tcW w:w="1199" w:type="pct"/>
            <w:vMerge w:val="restart"/>
          </w:tcPr>
          <w:p w14:paraId="0E0D888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383BE0FD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7"/>
          </w:tcPr>
          <w:p w14:paraId="256FCAFD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9" w:type="pct"/>
          </w:tcPr>
          <w:p w14:paraId="4CCB0621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5661AE" w14:paraId="5844B3A4" w14:textId="77777777" w:rsidTr="00BF0E1E">
        <w:trPr>
          <w:trHeight w:val="20"/>
        </w:trPr>
        <w:tc>
          <w:tcPr>
            <w:tcW w:w="1199" w:type="pct"/>
            <w:vMerge/>
          </w:tcPr>
          <w:p w14:paraId="3E6162C4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2E0F6D0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B69789B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5661AE" w14:paraId="2B239C9F" w14:textId="77777777" w:rsidTr="00BF0E1E">
        <w:trPr>
          <w:trHeight w:val="20"/>
        </w:trPr>
        <w:tc>
          <w:tcPr>
            <w:tcW w:w="1199" w:type="pct"/>
            <w:vMerge/>
          </w:tcPr>
          <w:p w14:paraId="5EAC728B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18B321C7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E766DE" w:rsidRPr="005661AE" w14:paraId="74210D3D" w14:textId="77777777" w:rsidTr="00BF0E1E">
        <w:trPr>
          <w:trHeight w:val="20"/>
        </w:trPr>
        <w:tc>
          <w:tcPr>
            <w:tcW w:w="1199" w:type="pct"/>
            <w:vMerge/>
          </w:tcPr>
          <w:p w14:paraId="103C44A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9FDBBF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6213CA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615A128" w14:textId="77777777" w:rsidTr="00BF0E1E">
        <w:trPr>
          <w:trHeight w:val="20"/>
        </w:trPr>
        <w:tc>
          <w:tcPr>
            <w:tcW w:w="1199" w:type="pct"/>
            <w:vMerge/>
          </w:tcPr>
          <w:p w14:paraId="3305C217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CEE484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C56B97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39E50D10" w14:textId="77777777" w:rsidTr="00BF0E1E">
        <w:trPr>
          <w:trHeight w:val="20"/>
        </w:trPr>
        <w:tc>
          <w:tcPr>
            <w:tcW w:w="1199" w:type="pct"/>
            <w:vMerge/>
          </w:tcPr>
          <w:p w14:paraId="16D46BDA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39E67CD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A4F93C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10F8D6B4" w14:textId="77777777" w:rsidTr="00BF0E1E">
        <w:trPr>
          <w:trHeight w:val="20"/>
        </w:trPr>
        <w:tc>
          <w:tcPr>
            <w:tcW w:w="1199" w:type="pct"/>
            <w:vMerge/>
          </w:tcPr>
          <w:p w14:paraId="2332FB8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6B3F57E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81D23F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6C2D8064" w14:textId="77777777" w:rsidTr="00BF0E1E">
        <w:trPr>
          <w:trHeight w:val="20"/>
        </w:trPr>
        <w:tc>
          <w:tcPr>
            <w:tcW w:w="1199" w:type="pct"/>
            <w:vMerge/>
          </w:tcPr>
          <w:p w14:paraId="35517E8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2"/>
          </w:tcPr>
          <w:p w14:paraId="4D284A9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2"/>
          </w:tcPr>
          <w:p w14:paraId="1DC3660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5661AE" w14:paraId="6768C22F" w14:textId="77777777" w:rsidTr="00BF0E1E">
        <w:trPr>
          <w:trHeight w:val="20"/>
        </w:trPr>
        <w:tc>
          <w:tcPr>
            <w:tcW w:w="1199" w:type="pct"/>
            <w:vMerge/>
          </w:tcPr>
          <w:p w14:paraId="28A36D79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7C37390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D9425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75317F03" w14:textId="77777777" w:rsidTr="00BF0E1E">
        <w:trPr>
          <w:trHeight w:val="20"/>
        </w:trPr>
        <w:tc>
          <w:tcPr>
            <w:tcW w:w="1199" w:type="pct"/>
            <w:vMerge/>
          </w:tcPr>
          <w:p w14:paraId="38EE679B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641888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B1FFCC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276EE8D" w14:textId="77777777" w:rsidTr="00BF0E1E">
        <w:trPr>
          <w:trHeight w:val="20"/>
        </w:trPr>
        <w:tc>
          <w:tcPr>
            <w:tcW w:w="1199" w:type="pct"/>
            <w:vMerge/>
          </w:tcPr>
          <w:p w14:paraId="06E287AF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14:paraId="20044415" w14:textId="77777777"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>
              <w:rPr>
                <w:rStyle w:val="211pt"/>
                <w:rFonts w:eastAsia="Calibri"/>
              </w:rPr>
              <w:t>–</w:t>
            </w:r>
            <w:r w:rsidRPr="005661AE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5EB4AB8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2F9535A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0A39477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04C04E31" w14:textId="77777777" w:rsidTr="00BF0E1E">
        <w:trPr>
          <w:trHeight w:val="20"/>
        </w:trPr>
        <w:tc>
          <w:tcPr>
            <w:tcW w:w="1199" w:type="pct"/>
            <w:vMerge/>
          </w:tcPr>
          <w:p w14:paraId="37AA8704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41A75467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718F46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365001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8692317" w14:textId="77777777" w:rsidTr="00BF0E1E">
        <w:trPr>
          <w:trHeight w:val="20"/>
        </w:trPr>
        <w:tc>
          <w:tcPr>
            <w:tcW w:w="1199" w:type="pct"/>
            <w:vMerge/>
          </w:tcPr>
          <w:p w14:paraId="60846253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51BCF0A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E766DE" w:rsidRPr="005661AE" w14:paraId="700EB4B7" w14:textId="77777777" w:rsidTr="00BF0E1E">
        <w:trPr>
          <w:trHeight w:val="20"/>
        </w:trPr>
        <w:tc>
          <w:tcPr>
            <w:tcW w:w="1199" w:type="pct"/>
            <w:vMerge/>
          </w:tcPr>
          <w:p w14:paraId="5473FCD3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C2C91A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4DCA76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4F0B2336" w14:textId="77777777" w:rsidTr="00BF0E1E">
        <w:trPr>
          <w:trHeight w:val="20"/>
        </w:trPr>
        <w:tc>
          <w:tcPr>
            <w:tcW w:w="1199" w:type="pct"/>
            <w:vMerge/>
          </w:tcPr>
          <w:p w14:paraId="7F37C75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F91F7BD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DD9FEA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7CF7E306" w14:textId="77777777" w:rsidTr="00BF0E1E">
        <w:trPr>
          <w:trHeight w:val="20"/>
        </w:trPr>
        <w:tc>
          <w:tcPr>
            <w:tcW w:w="1199" w:type="pct"/>
            <w:vMerge/>
          </w:tcPr>
          <w:p w14:paraId="7952A096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607DD3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BF1E3D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12421C0E" w14:textId="77777777" w:rsidTr="00BF0E1E">
        <w:trPr>
          <w:trHeight w:val="20"/>
        </w:trPr>
        <w:tc>
          <w:tcPr>
            <w:tcW w:w="1199" w:type="pct"/>
            <w:vMerge/>
          </w:tcPr>
          <w:p w14:paraId="4CCD475A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2"/>
          </w:tcPr>
          <w:p w14:paraId="6864F36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</w:tcPr>
          <w:p w14:paraId="03DB61C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5661AE" w14:paraId="5C56B463" w14:textId="77777777" w:rsidTr="00BF0E1E">
        <w:trPr>
          <w:trHeight w:val="20"/>
        </w:trPr>
        <w:tc>
          <w:tcPr>
            <w:tcW w:w="1199" w:type="pct"/>
            <w:vMerge/>
          </w:tcPr>
          <w:p w14:paraId="0D3B10FE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24D6EB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F9CC5A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6D9C70E5" w14:textId="77777777" w:rsidTr="00BF0E1E">
        <w:trPr>
          <w:trHeight w:val="20"/>
        </w:trPr>
        <w:tc>
          <w:tcPr>
            <w:tcW w:w="1199" w:type="pct"/>
            <w:vMerge/>
          </w:tcPr>
          <w:p w14:paraId="05532052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9CBDA7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4C8A383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21B4BD73" w14:textId="77777777" w:rsidTr="00BF0E1E">
        <w:trPr>
          <w:trHeight w:val="20"/>
        </w:trPr>
        <w:tc>
          <w:tcPr>
            <w:tcW w:w="1199" w:type="pct"/>
            <w:vMerge/>
          </w:tcPr>
          <w:p w14:paraId="25A4013F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24F3B69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4B1BD3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5216D397" w14:textId="77777777" w:rsidTr="00BF0E1E">
        <w:trPr>
          <w:trHeight w:val="20"/>
        </w:trPr>
        <w:tc>
          <w:tcPr>
            <w:tcW w:w="1199" w:type="pct"/>
            <w:vMerge/>
          </w:tcPr>
          <w:p w14:paraId="2DD4AFC8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14:paraId="6604F693" w14:textId="77777777"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22" w:type="pct"/>
          </w:tcPr>
          <w:p w14:paraId="67745C8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598B5C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E83671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0F74177D" w14:textId="77777777" w:rsidTr="00BF0E1E">
        <w:trPr>
          <w:trHeight w:val="20"/>
        </w:trPr>
        <w:tc>
          <w:tcPr>
            <w:tcW w:w="1199" w:type="pct"/>
            <w:vMerge/>
          </w:tcPr>
          <w:p w14:paraId="50C039D2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67EE9C6C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4FDC708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D6F4A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2EEBA08" w14:textId="77777777" w:rsidR="005661AE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3B638B44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74E278AE" w14:textId="77777777"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2F3CA845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3A2B8D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14:paraId="451018B0" w14:textId="77777777"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34"/>
        <w:gridCol w:w="2291"/>
        <w:gridCol w:w="3206"/>
        <w:gridCol w:w="1178"/>
        <w:gridCol w:w="1072"/>
        <w:gridCol w:w="1198"/>
        <w:gridCol w:w="1198"/>
      </w:tblGrid>
      <w:tr w:rsidR="001B6EF3" w:rsidRPr="001B6EF3" w14:paraId="01E0514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158FE59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4C66A60B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8FCE0F2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</w:t>
            </w:r>
          </w:p>
          <w:p w14:paraId="384E5B70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14:paraId="3116A205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Источники финансирования</w:t>
            </w:r>
          </w:p>
        </w:tc>
        <w:tc>
          <w:tcPr>
            <w:tcW w:w="1660" w:type="pct"/>
            <w:gridSpan w:val="4"/>
            <w:shd w:val="clear" w:color="auto" w:fill="FFFFFF"/>
          </w:tcPr>
          <w:p w14:paraId="4C52547C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затраты на реализацию </w:t>
            </w:r>
          </w:p>
          <w:p w14:paraId="0D7FFB82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B6EF3" w:rsidRPr="001B6EF3" w14:paraId="0B66CE1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59A6989" w14:textId="77777777" w:rsidR="001B6EF3" w:rsidRPr="001B6EF3" w:rsidRDefault="001B6EF3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FCF595A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A3C576" w14:textId="77777777" w:rsidR="001B6EF3" w:rsidRPr="001B6EF3" w:rsidRDefault="001B6EF3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vMerge/>
            <w:shd w:val="clear" w:color="auto" w:fill="FFFFFF"/>
            <w:vAlign w:val="bottom"/>
          </w:tcPr>
          <w:p w14:paraId="15DB0BB3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F5C7E9D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FFFFFF"/>
          </w:tcPr>
          <w:p w14:paraId="6A72036E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shd w:val="clear" w:color="auto" w:fill="FFFFFF"/>
          </w:tcPr>
          <w:p w14:paraId="32FA8E38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shd w:val="clear" w:color="auto" w:fill="FFFFFF"/>
          </w:tcPr>
          <w:p w14:paraId="512ECC77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1B6EF3" w:rsidRPr="001B6EF3" w14:paraId="416EABF6" w14:textId="77777777" w:rsidTr="00433CFE">
        <w:trPr>
          <w:trHeight w:val="20"/>
        </w:trPr>
        <w:tc>
          <w:tcPr>
            <w:tcW w:w="505" w:type="pct"/>
            <w:shd w:val="clear" w:color="auto" w:fill="FFFFFF"/>
          </w:tcPr>
          <w:p w14:paraId="01FC3E0B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FFFFFF"/>
          </w:tcPr>
          <w:p w14:paraId="44E4D3A2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9" w:type="pct"/>
            <w:shd w:val="clear" w:color="auto" w:fill="FFFFFF"/>
          </w:tcPr>
          <w:p w14:paraId="1997CB1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FFFFFF"/>
          </w:tcPr>
          <w:p w14:paraId="6F561427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1" w:type="pct"/>
            <w:shd w:val="clear" w:color="auto" w:fill="FFFFFF"/>
          </w:tcPr>
          <w:p w14:paraId="54501939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FFFFFF"/>
          </w:tcPr>
          <w:p w14:paraId="1FE47FB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C0376EE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4BF642D4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6EF3" w:rsidRPr="001B6EF3" w14:paraId="7C7D8CB5" w14:textId="77777777" w:rsidTr="00BF0E1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DC7DA40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070CB9F2" w14:textId="2963D2BF" w:rsidR="001B6EF3" w:rsidRPr="00A662A2" w:rsidRDefault="001B6EF3" w:rsidP="00BF0E1E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Региональный проект «Спорт</w:t>
            </w:r>
            <w:r w:rsidR="00EC3149"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– норма жизни» (показатели 1, 2</w:t>
            </w: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E463396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146" w:type="pct"/>
            <w:shd w:val="clear" w:color="auto" w:fill="FFFFFF"/>
          </w:tcPr>
          <w:p w14:paraId="3635BD96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6B6F0E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444D0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E4B8BC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33D94AD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1B6EF3" w14:paraId="39A68A87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778BF01D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E878C2F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9C67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4DF591D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76A6282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751FF2D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FB7350C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27ABCB8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1B6EF3" w14:paraId="76DEA488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51D32EA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C370BA2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C60A69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8A3FB3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0BAA2E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082878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B057869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BE90E8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38FD61B0" w14:textId="77777777" w:rsidTr="00DD1913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565AF9A7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85962069"/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6C6F" w14:textId="6CB208BD" w:rsidR="00525479" w:rsidRPr="00A662A2" w:rsidRDefault="00525479" w:rsidP="00EC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A2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мероприятие: </w:t>
            </w:r>
            <w:r w:rsidRPr="00A662A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Развитие массовой физической культуры и спорта высших достижений (показатель 1, показатели 1,</w:t>
            </w:r>
            <w:r w:rsidR="00BF0E1E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662A2">
              <w:rPr>
                <w:rFonts w:ascii="Times New Roman CYR" w:eastAsia="Times New Roman" w:hAnsi="Times New Roman CYR" w:cs="Times New Roman CYR"/>
                <w:lang w:eastAsia="ru-RU"/>
              </w:rPr>
              <w:t>2, 3, 4, 5, 6 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8D4C653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5C93C7C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225530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742ADAE4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2B1C4F78" w14:textId="397CBE08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78218522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0443DFFC" w14:textId="77777777" w:rsidTr="00DD1913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996BFC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7D09496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7E12A04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15A81B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3DDEE6AE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2B447701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7C963A60" w14:textId="0193045D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2A4A6CFD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018C16E5" w14:textId="77777777" w:rsidTr="00DD1913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5131A9A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8F03CA5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535058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E0FF61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05063326" w14:textId="77777777" w:rsidR="00BF0E1E" w:rsidRDefault="00525479" w:rsidP="00BF0E1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  <w:r w:rsidR="000112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E3E27F8" w14:textId="59E4EF47" w:rsidR="00525479" w:rsidRPr="00BF0E1E" w:rsidRDefault="000112B3" w:rsidP="00BF0E1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A662A2">
              <w:rPr>
                <w:rFonts w:ascii="Times New Roman" w:hAnsi="Times New Roman" w:cs="Times New Roman"/>
                <w:color w:val="000000" w:themeColor="text1"/>
              </w:rPr>
              <w:t>АО НК «Конданефть»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7190336D" w14:textId="526A0764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FFFFFF"/>
          </w:tcPr>
          <w:p w14:paraId="4411D0BD" w14:textId="36551D94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FFFFFF"/>
          </w:tcPr>
          <w:p w14:paraId="7A81AB1D" w14:textId="3F3595F5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B8E6A2D" w14:textId="05C6B6CB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1"/>
      <w:tr w:rsidR="00525479" w:rsidRPr="001B6EF3" w14:paraId="588B562F" w14:textId="77777777" w:rsidTr="00DD1913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AF47142" w14:textId="77777777" w:rsidR="00525479" w:rsidRPr="00625027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B8FB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602A6460" w14:textId="1834803C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</w:t>
            </w:r>
            <w:r w:rsidR="00721989">
              <w:rPr>
                <w:rFonts w:ascii="Times New Roman" w:eastAsia="Times New Roman" w:hAnsi="Times New Roman" w:cs="Times New Roman"/>
                <w:lang w:eastAsia="ru-RU"/>
              </w:rPr>
              <w:t>е, спорту и социальной политике)</w:t>
            </w: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559A5FE" w14:textId="7A5C9911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B41E96C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AA4C081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7D7A00D5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4C7EE1C4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3AA7F5BE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525479" w:rsidRPr="001B6EF3" w14:paraId="5AB5A200" w14:textId="77777777" w:rsidTr="00DD1913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03CB337" w14:textId="77777777" w:rsidR="00525479" w:rsidRPr="00625027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3EFB2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FF214F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EAD9C87" w14:textId="1951DA62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455AD629" w14:textId="7433AA0E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48D6CB0B" w14:textId="7D0FCDB9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73385144" w14:textId="62542EF6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52928999" w14:textId="529A7DD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B3521A" w:rsidRPr="001B6EF3" w14:paraId="7934853A" w14:textId="77777777" w:rsidTr="00DD1913">
        <w:trPr>
          <w:trHeight w:val="1265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7632F2" w14:textId="77777777" w:rsidR="00B3521A" w:rsidRPr="00625027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58D6100" w14:textId="77777777" w:rsidR="00B3521A" w:rsidRPr="00A662A2" w:rsidRDefault="00B3521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BCF3D34" w14:textId="77777777" w:rsidR="00B3521A" w:rsidRPr="00A662A2" w:rsidRDefault="00B3521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F26FF99" w14:textId="77777777" w:rsidR="00B3521A" w:rsidRPr="00A662A2" w:rsidRDefault="00B3521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3EBC52A8" w14:textId="77777777" w:rsidR="00BF0E1E" w:rsidRDefault="00B3521A" w:rsidP="00BF0E1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предприятий-недропользователей </w:t>
            </w:r>
          </w:p>
          <w:p w14:paraId="686BC5A3" w14:textId="59BBC508" w:rsidR="00B3521A" w:rsidRPr="00BF0E1E" w:rsidRDefault="00B3521A" w:rsidP="00BF0E1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A662A2">
              <w:rPr>
                <w:rFonts w:ascii="Times New Roman" w:hAnsi="Times New Roman" w:cs="Times New Roman"/>
                <w:color w:val="000000" w:themeColor="text1"/>
              </w:rPr>
              <w:t>АО НК «Конданефть»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0989DE94" w14:textId="2B8DCA14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383" w:type="pct"/>
            <w:shd w:val="clear" w:color="auto" w:fill="FFFFFF"/>
          </w:tcPr>
          <w:p w14:paraId="092C7783" w14:textId="798E21ED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428" w:type="pct"/>
            <w:shd w:val="clear" w:color="auto" w:fill="FFFFFF"/>
          </w:tcPr>
          <w:p w14:paraId="09F1825B" w14:textId="2248E3D3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122A584" w14:textId="6158D09F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6C30D5B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EE7FED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527CF20" w14:textId="77777777" w:rsidR="00525479" w:rsidRPr="00625027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341DCC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40C0D76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41145AF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F299A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29FEB4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2B55E7B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19A864D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1B6EF3" w14:paraId="36F1E999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8835F8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2F5026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C6B12E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2BFD7D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4C8435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31CC8AE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0EFA2E3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2ECAD8F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1B6EF3" w14:paraId="603061C2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9B6E1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ADA7A0F" w14:textId="77777777" w:rsidR="00525479" w:rsidRPr="00625027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проекта «Спортивный Горноправдинск»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A89834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587D9E2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6629C8FC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C1064E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4BFCE23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F7E42A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69CFB3C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0DB920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233D7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1FA174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25D0F1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71798BA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F4AEF1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8C315D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F29432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02008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2EA18219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27D5BC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85978277"/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E3791B9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6200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34DE66A3" w14:textId="3146BA68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Развитие и укрепление материально-технической базы спортивной и туристичес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инфраструктуры (показатель 2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3143B9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A3E77BA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984080A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6 168,3</w:t>
            </w:r>
          </w:p>
        </w:tc>
        <w:tc>
          <w:tcPr>
            <w:tcW w:w="383" w:type="pct"/>
            <w:shd w:val="clear" w:color="auto" w:fill="FFFFFF"/>
          </w:tcPr>
          <w:p w14:paraId="39354FEF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4 913,1</w:t>
            </w:r>
          </w:p>
        </w:tc>
        <w:tc>
          <w:tcPr>
            <w:tcW w:w="428" w:type="pct"/>
            <w:shd w:val="clear" w:color="auto" w:fill="FFFFFF"/>
          </w:tcPr>
          <w:p w14:paraId="4D4857AB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698,8</w:t>
            </w:r>
          </w:p>
        </w:tc>
        <w:tc>
          <w:tcPr>
            <w:tcW w:w="428" w:type="pct"/>
            <w:shd w:val="clear" w:color="auto" w:fill="FFFFFF"/>
          </w:tcPr>
          <w:p w14:paraId="6B581EC6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556,4</w:t>
            </w:r>
          </w:p>
        </w:tc>
      </w:tr>
      <w:tr w:rsidR="00525479" w:rsidRPr="001B6EF3" w14:paraId="735CD756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508CFC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E17BED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104C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22091B2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821FE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1 775,3</w:t>
            </w:r>
          </w:p>
        </w:tc>
        <w:tc>
          <w:tcPr>
            <w:tcW w:w="383" w:type="pct"/>
            <w:shd w:val="clear" w:color="auto" w:fill="FFFFFF"/>
          </w:tcPr>
          <w:p w14:paraId="690D8F6B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4843DAC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6E2DEFF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679D04F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BBDE60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F2E1752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4185E6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ABA8B9E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18AF5A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4 393,0</w:t>
            </w:r>
          </w:p>
        </w:tc>
        <w:tc>
          <w:tcPr>
            <w:tcW w:w="383" w:type="pct"/>
            <w:shd w:val="clear" w:color="auto" w:fill="FFFFFF"/>
          </w:tcPr>
          <w:p w14:paraId="3AFFE06A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4 330,1</w:t>
            </w:r>
          </w:p>
        </w:tc>
        <w:tc>
          <w:tcPr>
            <w:tcW w:w="428" w:type="pct"/>
            <w:shd w:val="clear" w:color="auto" w:fill="FFFFFF"/>
          </w:tcPr>
          <w:p w14:paraId="055111F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1229C5F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771D101C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D3C528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3F5212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83C3B6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9BFC777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D541364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1D78EA8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2C8FE0D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3C7127D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5E353EE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100060C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8F4C83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1B18EE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3C3A169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63141827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 xml:space="preserve">4 299,4 </w:t>
            </w:r>
          </w:p>
        </w:tc>
        <w:tc>
          <w:tcPr>
            <w:tcW w:w="383" w:type="pct"/>
            <w:shd w:val="clear" w:color="auto" w:fill="FFFFFF"/>
          </w:tcPr>
          <w:p w14:paraId="14EF764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4 299,4</w:t>
            </w:r>
          </w:p>
        </w:tc>
        <w:tc>
          <w:tcPr>
            <w:tcW w:w="428" w:type="pct"/>
            <w:shd w:val="clear" w:color="auto" w:fill="FFFFFF"/>
          </w:tcPr>
          <w:p w14:paraId="419A0B3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AC1883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C1B3C7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BAA0D9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1B96D8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AB1BC6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5656563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5C5544F6" w14:textId="4DEF79FB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4E436D87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0BCDBDE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6EFBAD18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82C71E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bookmarkEnd w:id="2"/>
      <w:tr w:rsidR="00525479" w:rsidRPr="001B6EF3" w14:paraId="0E66EF8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4A947E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C2F8FDE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7AF3FA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5AD165E" w14:textId="77777777" w:rsidR="00525479" w:rsidRPr="00A662A2" w:rsidRDefault="00525479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29296A7E" w14:textId="7C3FD5DB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34E73D8A" w14:textId="09884C14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2630A1D7" w14:textId="4CDB637F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2BD6C41" w14:textId="1784DCE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27EEC777" w14:textId="5F1A39C4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3430EF1C" w14:textId="77777777" w:rsidTr="00BF0E1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BEC1B0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BD63F40" w14:textId="7841B86F" w:rsidR="00525479" w:rsidRPr="00625027" w:rsidRDefault="00525479" w:rsidP="00BF0E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 естественным льдом, площадками для игровых дисциплин, трибунами на 250 мест и отапливаемым административно-бытовым блоком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в п. Горноправдинске Ханты-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ансийского района»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EA066D8" w14:textId="77777777" w:rsidR="00BF0E1E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45455464" w14:textId="6A96749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0FC34783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19B357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4A6018DC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3A69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886BDE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2B7538C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451DFF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40AA614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923DD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05A014C" w14:textId="18AAE7A8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F084F1" w14:textId="6F85C3DD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11290492" w14:textId="79B7D916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DA1018B" w14:textId="1D101F19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4C52DA7" w14:textId="0E85D089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1447064B" w14:textId="77777777" w:rsidTr="00DD1913">
        <w:trPr>
          <w:trHeight w:val="1305"/>
        </w:trPr>
        <w:tc>
          <w:tcPr>
            <w:tcW w:w="505" w:type="pct"/>
            <w:vMerge/>
            <w:shd w:val="clear" w:color="auto" w:fill="FFFFFF"/>
          </w:tcPr>
          <w:p w14:paraId="4B0F433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3918B0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18FC91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AA7DDB9" w14:textId="0060BBDB" w:rsidR="00525479" w:rsidRPr="00A662A2" w:rsidRDefault="00525479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1382A11F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4232625" w14:textId="49EC059E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(ООО «РН-Юганскнефтегаз</w:t>
            </w:r>
            <w:r w:rsidR="00BF0E1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1" w:type="pct"/>
            <w:shd w:val="clear" w:color="auto" w:fill="FFFFFF"/>
          </w:tcPr>
          <w:p w14:paraId="737B0D4A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52B9C465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BB041EA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3DD8512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088E3C06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91F1A6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13B4BDCC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софинансирование расходов муниципальных образований </w:t>
            </w:r>
          </w:p>
          <w:p w14:paraId="5279576E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</w:t>
            </w:r>
          </w:p>
          <w:p w14:paraId="29438C06" w14:textId="141BF393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в соревнованиях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C4D6BB2" w14:textId="77777777" w:rsidR="00BF0E1E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района </w:t>
            </w:r>
          </w:p>
          <w:p w14:paraId="1F5F9008" w14:textId="11293866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3025522F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2CE8F4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813,5</w:t>
            </w:r>
          </w:p>
        </w:tc>
        <w:tc>
          <w:tcPr>
            <w:tcW w:w="383" w:type="pct"/>
            <w:shd w:val="clear" w:color="auto" w:fill="FFFFFF"/>
          </w:tcPr>
          <w:p w14:paraId="695C0F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428" w:type="pct"/>
            <w:shd w:val="clear" w:color="auto" w:fill="FFFFFF"/>
          </w:tcPr>
          <w:p w14:paraId="0BC216B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  <w:tc>
          <w:tcPr>
            <w:tcW w:w="428" w:type="pct"/>
            <w:shd w:val="clear" w:color="auto" w:fill="FFFFFF"/>
          </w:tcPr>
          <w:p w14:paraId="2FEF409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25479" w:rsidRPr="001B6EF3" w14:paraId="040B4FF7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3A1711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37D7BE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7AF0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1D3670E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16255C0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  <w:tc>
          <w:tcPr>
            <w:tcW w:w="383" w:type="pct"/>
            <w:shd w:val="clear" w:color="auto" w:fill="FFFFFF"/>
          </w:tcPr>
          <w:p w14:paraId="3249420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428" w:type="pct"/>
            <w:shd w:val="clear" w:color="auto" w:fill="FFFFFF"/>
          </w:tcPr>
          <w:p w14:paraId="3F75EDB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244,8</w:t>
            </w:r>
          </w:p>
        </w:tc>
        <w:tc>
          <w:tcPr>
            <w:tcW w:w="428" w:type="pct"/>
            <w:shd w:val="clear" w:color="auto" w:fill="FFFFFF"/>
          </w:tcPr>
          <w:p w14:paraId="2A2C642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25479" w:rsidRPr="001B6EF3" w14:paraId="2914CCE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1076CC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4E40087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F521C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1D5D8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D99F18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45D316E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4E21FCA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08E7362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1B6EF3" w14:paraId="2815CDB0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E04D0B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9C7FBC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81318C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FAB2E9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0527209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4919EA2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38442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39AE37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1704CA4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780A7E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DB680B7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D74DBF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727C416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0B9A57B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B2495A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58EC12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0959F1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25479" w:rsidRPr="001B6EF3" w14:paraId="3D5B9AB6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DD039D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846D9B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B5D08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7276520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51CCD90B" w14:textId="3D5F7FC0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AAF4C5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7211960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27B569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7593ACD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1B6EF3" w14:paraId="27AC0787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E4B1ED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2EB1F6F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здание лыжной базы, назначение: нежилое, </w:t>
            </w:r>
          </w:p>
          <w:p w14:paraId="3121AC95" w14:textId="24C2CDC3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 – этажный, общая площадь 123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6 кв. м, инв.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№ 71:129:000:000031570, лит. А, адрес (местоположение) объекта: Тюменская область,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автономный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округ – Югра,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район, сельское поселение Луговской, </w:t>
            </w:r>
          </w:p>
          <w:p w14:paraId="73E6A000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п. Луговской, </w:t>
            </w:r>
          </w:p>
          <w:p w14:paraId="719511F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ул. Гагарина, д. 4б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EDF153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  <w:p w14:paraId="4F3D826C" w14:textId="7A03B6F9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(МКУ ХМР «УКСиР»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6" w:type="pct"/>
            <w:shd w:val="clear" w:color="auto" w:fill="FFFFFF"/>
          </w:tcPr>
          <w:p w14:paraId="05C13FEE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1BE470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5BB6DE6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FFFFFF"/>
          </w:tcPr>
          <w:p w14:paraId="117E3A7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29560B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5712735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97E9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A6B2C32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C8B47D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650D0FC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56E3C6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110EE6C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FFFFFF"/>
          </w:tcPr>
          <w:p w14:paraId="03B800B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5011F1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44639323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DEF2F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0C4D4BA1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софинансирование мероприятий </w:t>
            </w:r>
          </w:p>
          <w:p w14:paraId="1CE2202E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на расходы муниципальных образований </w:t>
            </w:r>
          </w:p>
          <w:p w14:paraId="791B05CD" w14:textId="29F950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по развитию сети спортивных объектов шаговой доступности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CBA8C3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3BA23F3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5A5F4EDC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156124C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1 055,4</w:t>
            </w:r>
          </w:p>
        </w:tc>
        <w:tc>
          <w:tcPr>
            <w:tcW w:w="383" w:type="pct"/>
            <w:shd w:val="clear" w:color="auto" w:fill="FFFFFF"/>
          </w:tcPr>
          <w:p w14:paraId="4ACC3AA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17F4305B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0DEFD24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</w:tr>
      <w:tr w:rsidR="00525479" w:rsidRPr="001B6EF3" w14:paraId="123281A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108446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3AF541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783A987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AF86625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739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1 002,5</w:t>
            </w:r>
          </w:p>
        </w:tc>
        <w:tc>
          <w:tcPr>
            <w:tcW w:w="383" w:type="pct"/>
            <w:shd w:val="clear" w:color="auto" w:fill="FFFFFF"/>
          </w:tcPr>
          <w:p w14:paraId="3AFFAA8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7D3D709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3915BE4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</w:tr>
      <w:tr w:rsidR="00525479" w:rsidRPr="001B6EF3" w14:paraId="42877E6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6A4391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52FBA6B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30F6D2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1DAE8DA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623C6D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058F0EA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5C32D90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5BC4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25479" w:rsidRPr="001B6EF3" w14:paraId="3761F83E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309B11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5DC114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690B586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890CDDD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46367E9C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33A4130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87A735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CA6D5B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6B72593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7D3AC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345302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055EB3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2C7D28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54CA56E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173A61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CB6BA1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90DA4A7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08DD04F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CD61FF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D9570E4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18C813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05C7E91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56C0544C" w14:textId="57705A84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B6EC7D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53F47F7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65CA7FD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4987C1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56560" w:rsidRPr="001B6EF3" w14:paraId="1C9D7EE4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213B785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85978317"/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974299A" w14:textId="77777777" w:rsidR="00C56560" w:rsidRPr="00625027" w:rsidRDefault="00C56560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2BF71171" w14:textId="77777777" w:rsidR="00BF0E1E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Ханты-Мансийского района в оказании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1, показатели 3, 4, 5 </w:t>
            </w:r>
          </w:p>
          <w:p w14:paraId="286CF34E" w14:textId="4064E721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6BEC290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F3AF63E" w14:textId="77777777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4055999" w14:textId="06CAEFE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318 81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C4B41D0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108 737,6</w:t>
            </w:r>
          </w:p>
        </w:tc>
        <w:tc>
          <w:tcPr>
            <w:tcW w:w="428" w:type="pct"/>
            <w:shd w:val="clear" w:color="auto" w:fill="FFFFFF"/>
          </w:tcPr>
          <w:p w14:paraId="2E288C60" w14:textId="70621D13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49E011C" w14:textId="2B5D0610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56560" w:rsidRPr="001B6EF3" w14:paraId="746A9DF5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119C3FF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480FF4E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CF1BDE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B6CE6E5" w14:textId="77777777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BE2B177" w14:textId="7BE9D38A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318 81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2BEE6A4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108 737,6</w:t>
            </w:r>
          </w:p>
        </w:tc>
        <w:tc>
          <w:tcPr>
            <w:tcW w:w="428" w:type="pct"/>
            <w:shd w:val="clear" w:color="auto" w:fill="FFFFFF"/>
          </w:tcPr>
          <w:p w14:paraId="60A2F532" w14:textId="3E7D233D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6A57446" w14:textId="0567031C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56560" w:rsidRPr="001B6EF3" w14:paraId="28221DF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879A20C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4A915C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0B73895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A81FC7" w14:textId="77777777" w:rsidR="00C56560" w:rsidRPr="00A662A2" w:rsidRDefault="00C56560" w:rsidP="00DD191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5C90B135" w14:textId="77777777" w:rsidR="00BF0E1E" w:rsidRDefault="00C56560" w:rsidP="00525479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00294E2" w14:textId="1816563D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НК «РуссНефть»</w:t>
            </w:r>
            <w:r w:rsidR="00BF0E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1E165308" w14:textId="0CF00BB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597C24D5" w14:textId="6FFE160A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0A9DF1CC" w14:textId="01A05E12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851E098" w14:textId="00458354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525479" w:rsidRPr="001B6EF3" w14:paraId="5DF3016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93ABBD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1D45CA81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услуг в сфере физической культуры и спорта (содержание </w:t>
            </w:r>
          </w:p>
          <w:p w14:paraId="197679B4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4AF2D4F" w14:textId="77777777" w:rsidR="0052547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89C11C5" w14:textId="531F593C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36628104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7BFC571B" w14:textId="3EAF4292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258 802,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14:paraId="1AA6B327" w14:textId="78B96659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88 651,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" w:type="pct"/>
            <w:shd w:val="clear" w:color="auto" w:fill="FFFFFF"/>
          </w:tcPr>
          <w:p w14:paraId="08339AE4" w14:textId="6710C32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  <w:shd w:val="clear" w:color="auto" w:fill="FFFFFF"/>
          </w:tcPr>
          <w:p w14:paraId="3EC9C763" w14:textId="3CF43CEA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5479" w:rsidRPr="001B6EF3" w14:paraId="4BAC4D71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E89772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AABF4F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1E2A379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EA5FB59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0A86D7B" w14:textId="3D3BD3BB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258 802,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14:paraId="087D0B09" w14:textId="394BB2F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88 651,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" w:type="pct"/>
            <w:shd w:val="clear" w:color="auto" w:fill="FFFFFF"/>
          </w:tcPr>
          <w:p w14:paraId="401D1BC8" w14:textId="4640066F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  <w:shd w:val="clear" w:color="auto" w:fill="FFFFFF"/>
          </w:tcPr>
          <w:p w14:paraId="37BF9462" w14:textId="3A3CA85A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E5936" w:rsidRPr="001B6EF3" w14:paraId="52DC6EAE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C23B9B9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198C798" w14:textId="77777777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Проведение спортивных мероприятий </w:t>
            </w:r>
          </w:p>
          <w:p w14:paraId="0D2E06D0" w14:textId="77777777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МАУ «СШ ХМР»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361E30DB" w14:textId="77777777" w:rsidR="00DE5936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88CA29E" w14:textId="49DE068B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56476848" w14:textId="77777777" w:rsidR="00DE5936" w:rsidRPr="00625027" w:rsidRDefault="00DE5936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0C7866AE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207D07F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00D63CDB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35E95130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1B6EF3" w14:paraId="446AFC0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D8EE48C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E2B8CF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DD8B10C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0CD6A7" w14:textId="77777777" w:rsidR="00DE5936" w:rsidRPr="00625027" w:rsidRDefault="00DE5936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938E7A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7CD8E94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3E37657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83FD8BE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1B6EF3" w14:paraId="23DBB54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1BB46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9A3676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281208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847694D" w14:textId="77777777" w:rsidR="00DE5936" w:rsidRPr="00A662A2" w:rsidRDefault="00DE5936" w:rsidP="00DE593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4972711C" w14:textId="77777777" w:rsidR="00BF0E1E" w:rsidRDefault="00DE5936" w:rsidP="00DE5936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748631F" w14:textId="466A0E39" w:rsidR="00DE5936" w:rsidRPr="00625027" w:rsidRDefault="00DE5936" w:rsidP="00DE5936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НК «РуссНефть»</w:t>
            </w:r>
            <w:r w:rsidR="00BF0E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1F0F682B" w14:textId="5A9942F3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2D1BED2C" w14:textId="3D461070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236689A0" w14:textId="1D9BBB0F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FBA9465" w14:textId="7A63E89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428C2B0A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C40A933" w14:textId="05CE3F6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7A7E084" w14:textId="54631E3F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62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ХМР «ДЦ «Имитуй»)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564054B" w14:textId="77777777" w:rsidR="0052547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</w:t>
            </w:r>
          </w:p>
          <w:p w14:paraId="692BB9A1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(МБУ ХМР</w:t>
            </w:r>
          </w:p>
          <w:p w14:paraId="2E5D23BC" w14:textId="4D7D35D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«ДЦ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«Имитуй»)</w:t>
            </w:r>
          </w:p>
        </w:tc>
        <w:tc>
          <w:tcPr>
            <w:tcW w:w="1146" w:type="pct"/>
            <w:shd w:val="clear" w:color="auto" w:fill="FFFFFF"/>
          </w:tcPr>
          <w:p w14:paraId="4630BFD5" w14:textId="3F4895DA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73C34BB" w14:textId="5EA9A31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  <w:shd w:val="clear" w:color="auto" w:fill="FFFFFF"/>
          </w:tcPr>
          <w:p w14:paraId="3BBFC86B" w14:textId="2CE35DFD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FFFFFF"/>
          </w:tcPr>
          <w:p w14:paraId="47788C95" w14:textId="29996D35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76B6168E" w14:textId="7DFF49DD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453DA865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1B40D93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3798AF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D4A894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1540BDD" w14:textId="49C35F28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57C573" w14:textId="6726596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  <w:shd w:val="clear" w:color="auto" w:fill="FFFFFF"/>
          </w:tcPr>
          <w:p w14:paraId="123E8E0B" w14:textId="4541608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FFFFFF"/>
          </w:tcPr>
          <w:p w14:paraId="04DC02FF" w14:textId="7821AC4E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076B94F1" w14:textId="3EDC172F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330F741D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1CAA7BF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 по муниципальной программе:</w:t>
            </w:r>
          </w:p>
        </w:tc>
        <w:tc>
          <w:tcPr>
            <w:tcW w:w="1146" w:type="pct"/>
            <w:shd w:val="clear" w:color="auto" w:fill="FFFFFF"/>
          </w:tcPr>
          <w:p w14:paraId="5361CACE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9AE1D25" w14:textId="1F6F9CF1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57A10C40" w14:textId="2D55AF5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585FDE19" w14:textId="35C07C2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70D83FAB" w14:textId="537970AB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2C9CF35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2E65313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90DF83E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77F90B35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282FE24C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00942C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0E534C2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18D2DC9E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C3050E3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49BC6B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243C4A" w14:textId="3F7EE56B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7429D7D8" w14:textId="013DC3E6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044A6811" w14:textId="470F55DB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5870B8C" w14:textId="35F8C12D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37E5FDB9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C665C4F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DF02468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0B17E39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44445B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A347FB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B1536D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6C3B10D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D436259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20B66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1B01EDCD" w14:textId="3E1A68B0" w:rsidR="00525479" w:rsidRPr="0014588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340C9270" w14:textId="220CAEB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615A98AB" w14:textId="07FF2B8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B9FCAFC" w14:textId="0079DBD3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15C15385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1020C8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B06C62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36A68934" w14:textId="243AD6FA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DEA6FA7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15CA1264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4304D1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C09244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5EEE212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FD27B7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857094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28D6AE4A" w14:textId="233C9C55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4EE9199C" w14:textId="6746360E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5F884F82" w14:textId="0B94946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0B5F2644" w14:textId="5E0CDFD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C4BB1BA" w14:textId="2EF356E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6C8BF839" w14:textId="77777777" w:rsidTr="00433CFE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34ADD0BC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0B2D97B7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6F21EBA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035AF51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537816B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0B60C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25479" w:rsidRPr="001B6EF3" w14:paraId="47200DC0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0BE8550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Проектная часть</w:t>
            </w:r>
          </w:p>
        </w:tc>
        <w:tc>
          <w:tcPr>
            <w:tcW w:w="1146" w:type="pct"/>
            <w:shd w:val="clear" w:color="auto" w:fill="FFFFFF"/>
          </w:tcPr>
          <w:p w14:paraId="380D2967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BFA1800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7477B20E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F6BF3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4B13869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E3D71B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3BC5AFD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FB666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693D2EF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00FF50B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F384EC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3339C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8E77355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640908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5F5B8CD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EBF72ED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11A8E1DD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6EDA73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633B65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4734BAB0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62407F8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1146" w:type="pct"/>
            <w:shd w:val="clear" w:color="auto" w:fill="FFFFFF"/>
          </w:tcPr>
          <w:p w14:paraId="5F689356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9E946C6" w14:textId="68CE8F92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154CEF6D" w14:textId="197F9E8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4389E5BD" w14:textId="026ACF1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1C3F65E5" w14:textId="7B06017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52ED1B4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CEACA2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5925C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050C5D87" w14:textId="7DCD9C00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466CCA07" w14:textId="51BCCBFB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68F3B0B" w14:textId="00355E3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4FD9004B" w14:textId="19744ED4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5491874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3C716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2D81506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6AB6A75" w14:textId="1E00D67E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291FFE32" w14:textId="7EC85BA6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4B678906" w14:textId="6FF4FEC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5E00823F" w14:textId="73F952C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5ADD555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FF60D8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332531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3A26CA34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7D27FB0A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1D699C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0D65DE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A6C63F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820B795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A2FD76D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6833A9" w14:textId="3EE93C36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1092A3AD" w14:textId="6A1F69D3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649DF00C" w14:textId="73A3BEA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1A0EF226" w14:textId="6369800E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7A30551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B43AB2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055F38A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2E091E3B" w14:textId="7C6CA9E1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ED97FF9" w14:textId="1E4381B2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690F3252" w14:textId="2B50038F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70A5CD8" w14:textId="5BB9D981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339870E8" w14:textId="615EF8E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2F7476AC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082B2F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A60BACF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118F8C9" w14:textId="2BEB5863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60D1A4C" w14:textId="7EAAA8D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FB6C94C" w14:textId="741C99B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525553D5" w14:textId="08412E1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7DE986" w14:textId="4791D58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5D5207EA" w14:textId="77777777" w:rsidTr="00433CFE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2B3D20E8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63243E1E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06FFCF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347363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DF7AA3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61498A7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CFD5598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2F06928C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46" w:type="pct"/>
            <w:shd w:val="clear" w:color="auto" w:fill="FFFFFF"/>
          </w:tcPr>
          <w:p w14:paraId="2A30C5F9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C27B561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A660E80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8470A3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85E841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32E2F14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DC984C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6F6C678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6428A1B7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5D0C532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529CF3B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FFFC987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535DEEB2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74ECADE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C98895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2897F1E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5FDE6435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1B73BF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D835B9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27AAB318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59B150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146" w:type="pct"/>
            <w:shd w:val="clear" w:color="auto" w:fill="FFFFFF"/>
          </w:tcPr>
          <w:p w14:paraId="3981A83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3E204D68" w14:textId="6F6A55F0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7846646C" w14:textId="26406C7D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3F8774AD" w14:textId="4FC80F66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4A93EAFC" w14:textId="2A7799E8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6BB9744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AA5689F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6AB91DA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4F0715DC" w14:textId="560D30AF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5DDE8591" w14:textId="652A05CD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3CB6F40D" w14:textId="25B42746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51BD7189" w14:textId="1891FE1A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0CBC402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4AF9E84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0610133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4477D3CC" w14:textId="33CDEA3C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440523E2" w14:textId="79A945A8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143E68B9" w14:textId="1C774A2A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9444FF5" w14:textId="68302E60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24514CE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CF6AD7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6A04D4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1447F4E3" w14:textId="77777777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278A60F6" w14:textId="77777777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B69590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19460C6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24165E64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DFFCA2D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8FC0A26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1E1990" w14:textId="1B700440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75C78745" w14:textId="7CD103F8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029D59BB" w14:textId="7AC5F39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988118E" w14:textId="1990C3FD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6B658F62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92FD8B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FBE1825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3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0B9A2C78" w14:textId="6AB131F5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Times New Roman" w:hAnsi="Times New Roman" w:cs="Times New Roman"/>
                <w:lang w:eastAsia="ru-RU"/>
              </w:rPr>
              <w:t xml:space="preserve">на софинансирование расходов за счет средств федерального и </w:t>
            </w:r>
            <w:r w:rsidRPr="00291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4A8A35A" w14:textId="729A4709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93,6</w:t>
            </w:r>
          </w:p>
        </w:tc>
        <w:tc>
          <w:tcPr>
            <w:tcW w:w="383" w:type="pct"/>
            <w:shd w:val="clear" w:color="auto" w:fill="FFFFFF"/>
          </w:tcPr>
          <w:p w14:paraId="448F9088" w14:textId="68B982EA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52A88D44" w14:textId="48B55F2E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27405E12" w14:textId="3E0F6FC4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530C47EF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32A40D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7C199D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706DFC9" w14:textId="4CEF8A67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DC3EDC5" w14:textId="1C9D80B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08590E8" w14:textId="615EAFA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7F14F529" w14:textId="0885CA6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20E20C6" w14:textId="0FB37DE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0DE7F813" w14:textId="77777777" w:rsidTr="00D7155B">
        <w:trPr>
          <w:trHeight w:val="20"/>
        </w:trPr>
        <w:tc>
          <w:tcPr>
            <w:tcW w:w="2194" w:type="pct"/>
            <w:gridSpan w:val="3"/>
            <w:shd w:val="clear" w:color="auto" w:fill="auto"/>
          </w:tcPr>
          <w:p w14:paraId="323AA14E" w14:textId="77777777" w:rsidR="00525479" w:rsidRPr="00D7155B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5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auto"/>
          </w:tcPr>
          <w:p w14:paraId="0E4B0D2C" w14:textId="77777777" w:rsidR="00525479" w:rsidRPr="00D7155B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auto"/>
          </w:tcPr>
          <w:p w14:paraId="704510AC" w14:textId="77777777" w:rsidR="00525479" w:rsidRPr="00D7155B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14:paraId="249D7F76" w14:textId="77777777" w:rsidR="00525479" w:rsidRPr="00D7155B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92F97C6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DE72D4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25479" w:rsidRPr="001B6EF3" w14:paraId="3C4B0B71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74558850" w14:textId="52926A04" w:rsidR="00525479" w:rsidRPr="00BE34D9" w:rsidRDefault="00BF0E1E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85982302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5479" w:rsidRPr="00BE34D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525479" w:rsidRPr="00BE34D9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района (отдел по культуре, спорту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525479" w:rsidRPr="00BE34D9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политике)</w:t>
            </w:r>
          </w:p>
        </w:tc>
        <w:tc>
          <w:tcPr>
            <w:tcW w:w="1146" w:type="pct"/>
            <w:shd w:val="clear" w:color="auto" w:fill="auto"/>
          </w:tcPr>
          <w:p w14:paraId="105B5276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A7733D7" w14:textId="6440CA24" w:rsidR="00525479" w:rsidRPr="00BF0E1E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auto"/>
          </w:tcPr>
          <w:p w14:paraId="6A0C70B5" w14:textId="1BFE7B6E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auto"/>
          </w:tcPr>
          <w:p w14:paraId="7A4CB30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6B7D2D9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5F0AC7F3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2602C532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5353CC28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0CBEED3" w14:textId="6BF63C8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auto"/>
          </w:tcPr>
          <w:p w14:paraId="3A95FBC1" w14:textId="6C51C935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auto"/>
          </w:tcPr>
          <w:p w14:paraId="26E7F28E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2B510A74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4B4778AF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4DCB4CD1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6BC0EF3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0B4EBEC7" w14:textId="37966655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auto"/>
          </w:tcPr>
          <w:p w14:paraId="66F98B64" w14:textId="1FE08D7E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auto"/>
          </w:tcPr>
          <w:p w14:paraId="0E6576E3" w14:textId="04A0E09C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auto"/>
          </w:tcPr>
          <w:p w14:paraId="658EAA18" w14:textId="2AD57F3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D204D6F" w14:textId="5B7F1456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4"/>
      <w:tr w:rsidR="00525479" w:rsidRPr="001B6EF3" w14:paraId="7CD4409A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3BA59DE1" w14:textId="77777777" w:rsidR="00525479" w:rsidRPr="00BE34D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1: 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строительства, архитектуры и ЖКХ (МУК ХМР «УКСиР»)</w:t>
            </w:r>
          </w:p>
        </w:tc>
        <w:tc>
          <w:tcPr>
            <w:tcW w:w="1146" w:type="pct"/>
            <w:shd w:val="clear" w:color="auto" w:fill="auto"/>
          </w:tcPr>
          <w:p w14:paraId="5BA68A17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F0C8DE4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3FAC2F22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auto"/>
          </w:tcPr>
          <w:p w14:paraId="4B98F3E2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45D0F859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D7A6E00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75BF3EB7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4D5EC8A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DE03FED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7F01401C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auto"/>
          </w:tcPr>
          <w:p w14:paraId="6E056A4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60CB2C96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5D9B726D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0CDAEB57" w14:textId="77777777" w:rsidR="00525479" w:rsidRPr="00BE34D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2: администрация Ханты-Мансийского района </w:t>
            </w: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  <w:p w14:paraId="45832D77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474054C" w14:textId="7113321D" w:rsidR="00525479" w:rsidRPr="00BE34D9" w:rsidRDefault="00BF0E1E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="00525479"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сего</w:t>
            </w:r>
          </w:p>
        </w:tc>
        <w:tc>
          <w:tcPr>
            <w:tcW w:w="421" w:type="pct"/>
          </w:tcPr>
          <w:p w14:paraId="01FC1100" w14:textId="25DB329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290 498,2</w:t>
            </w:r>
          </w:p>
        </w:tc>
        <w:tc>
          <w:tcPr>
            <w:tcW w:w="383" w:type="pct"/>
          </w:tcPr>
          <w:p w14:paraId="3E24DF0D" w14:textId="1231686F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99 208,4</w:t>
            </w:r>
          </w:p>
        </w:tc>
        <w:tc>
          <w:tcPr>
            <w:tcW w:w="428" w:type="pct"/>
            <w:shd w:val="clear" w:color="auto" w:fill="auto"/>
          </w:tcPr>
          <w:p w14:paraId="278DDC74" w14:textId="7B53476F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95 716,1</w:t>
            </w:r>
          </w:p>
        </w:tc>
        <w:tc>
          <w:tcPr>
            <w:tcW w:w="428" w:type="pct"/>
          </w:tcPr>
          <w:p w14:paraId="084F19BF" w14:textId="243A209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95 573,7</w:t>
            </w:r>
          </w:p>
        </w:tc>
      </w:tr>
      <w:tr w:rsidR="00525479" w:rsidRPr="001B6EF3" w14:paraId="27DF23B2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F81A8B9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C3294FB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</w:tcPr>
          <w:p w14:paraId="5B8A1781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1 775,3</w:t>
            </w:r>
          </w:p>
        </w:tc>
        <w:tc>
          <w:tcPr>
            <w:tcW w:w="383" w:type="pct"/>
          </w:tcPr>
          <w:p w14:paraId="5BB4A427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auto"/>
          </w:tcPr>
          <w:p w14:paraId="3C0A4269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3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</w:tcPr>
          <w:p w14:paraId="70A2929A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41BAD715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6691FFB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FCC27C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</w:tcPr>
          <w:p w14:paraId="70BE1B3C" w14:textId="415EB9E4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288 722,9</w:t>
            </w:r>
          </w:p>
        </w:tc>
        <w:tc>
          <w:tcPr>
            <w:tcW w:w="383" w:type="pct"/>
          </w:tcPr>
          <w:p w14:paraId="4827C74E" w14:textId="405795F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98 625,4</w:t>
            </w:r>
          </w:p>
        </w:tc>
        <w:tc>
          <w:tcPr>
            <w:tcW w:w="428" w:type="pct"/>
            <w:shd w:val="clear" w:color="auto" w:fill="auto"/>
          </w:tcPr>
          <w:p w14:paraId="3915D494" w14:textId="2B19D0D5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95 052,3</w:t>
            </w:r>
          </w:p>
        </w:tc>
        <w:tc>
          <w:tcPr>
            <w:tcW w:w="428" w:type="pct"/>
          </w:tcPr>
          <w:p w14:paraId="1588F20F" w14:textId="11284E24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95 045,2</w:t>
            </w:r>
          </w:p>
        </w:tc>
      </w:tr>
      <w:tr w:rsidR="00525479" w:rsidRPr="001B6EF3" w14:paraId="752ABFD8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7DA0BDC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305B87C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</w:tcPr>
          <w:p w14:paraId="4D83446A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</w:tcPr>
          <w:p w14:paraId="3FE46868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14:paraId="388625B7" w14:textId="77777777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14:paraId="0D619F59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8F54298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EA940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17F9F64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</w:tcPr>
          <w:p w14:paraId="5812A06F" w14:textId="20796676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288 629,3</w:t>
            </w:r>
          </w:p>
        </w:tc>
        <w:tc>
          <w:tcPr>
            <w:tcW w:w="383" w:type="pct"/>
          </w:tcPr>
          <w:p w14:paraId="5DA1ABBF" w14:textId="78898B01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98 594,7</w:t>
            </w:r>
          </w:p>
        </w:tc>
        <w:tc>
          <w:tcPr>
            <w:tcW w:w="428" w:type="pct"/>
            <w:shd w:val="clear" w:color="auto" w:fill="auto"/>
          </w:tcPr>
          <w:p w14:paraId="1E46AE08" w14:textId="33113C44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95 017,3</w:t>
            </w:r>
          </w:p>
        </w:tc>
        <w:tc>
          <w:tcPr>
            <w:tcW w:w="428" w:type="pct"/>
          </w:tcPr>
          <w:p w14:paraId="188F351C" w14:textId="5B8CEB35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95017,3</w:t>
            </w:r>
          </w:p>
        </w:tc>
      </w:tr>
      <w:tr w:rsidR="00525479" w:rsidRPr="001B6EF3" w14:paraId="3DC68A93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9F8A9BB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8767B9F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339456FB" w14:textId="44714A9E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</w:tcPr>
          <w:p w14:paraId="5CD9B22D" w14:textId="272554AA" w:rsidR="0052547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383" w:type="pct"/>
          </w:tcPr>
          <w:p w14:paraId="26953DC5" w14:textId="5E2DCB9B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auto"/>
          </w:tcPr>
          <w:p w14:paraId="466F64BD" w14:textId="1DE8EEF3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</w:tcPr>
          <w:p w14:paraId="3A788D03" w14:textId="0C239A80" w:rsidR="0052547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43D08757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8AFBE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2D7529B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C4ABC6D" w14:textId="7988F4B3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</w:tcPr>
          <w:p w14:paraId="3A2B887A" w14:textId="15EC1ED1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383" w:type="pct"/>
          </w:tcPr>
          <w:p w14:paraId="331F72DC" w14:textId="088D4A03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428" w:type="pct"/>
            <w:shd w:val="clear" w:color="auto" w:fill="auto"/>
          </w:tcPr>
          <w:p w14:paraId="588620C9" w14:textId="2F5D14B5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CA4A812" w14:textId="20F01F66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CAEBFBD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31E4F56A" w14:textId="77777777" w:rsidR="00525479" w:rsidRPr="00BE34D9" w:rsidRDefault="00525479" w:rsidP="00525479">
            <w:pPr>
              <w:spacing w:after="0" w:line="240" w:lineRule="auto"/>
              <w:ind w:left="57" w:right="5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Соисполнитель 3: администрация Ханты-Мансийского района (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МБУ ХМР «ДЦ «Имитуй»)</w:t>
            </w:r>
          </w:p>
        </w:tc>
        <w:tc>
          <w:tcPr>
            <w:tcW w:w="1146" w:type="pct"/>
            <w:shd w:val="clear" w:color="auto" w:fill="FFFFFF"/>
          </w:tcPr>
          <w:p w14:paraId="37A7B10F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</w:tcPr>
          <w:p w14:paraId="37406637" w14:textId="6F23EC75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</w:tcPr>
          <w:p w14:paraId="3C9E16AF" w14:textId="55354B3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auto"/>
          </w:tcPr>
          <w:p w14:paraId="17D91516" w14:textId="2ED103D5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7E0ABAD7" w14:textId="6CA7307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3A22ABF2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6FEBCC1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59C2523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</w:tcPr>
          <w:p w14:paraId="52496E34" w14:textId="44BE320F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</w:tcPr>
          <w:p w14:paraId="6615AD76" w14:textId="6016193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auto"/>
          </w:tcPr>
          <w:p w14:paraId="68AC6946" w14:textId="0038B5FC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394F815D" w14:textId="0FFA66E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</w:tbl>
    <w:p w14:paraId="759D34EF" w14:textId="77777777" w:rsidR="001B6EF3" w:rsidRPr="0091405B" w:rsidRDefault="001B6EF3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E5289FF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7F84C6F0" w14:textId="77777777" w:rsidR="00693FC3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23D0D415" w14:textId="77777777" w:rsidR="00D94064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1D64FCE0" w14:textId="77777777" w:rsidR="007F188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15"/>
        <w:gridCol w:w="3337"/>
        <w:gridCol w:w="5797"/>
        <w:gridCol w:w="3344"/>
      </w:tblGrid>
      <w:tr w:rsidR="007F1888" w:rsidRPr="0027464F" w14:paraId="32D54B55" w14:textId="77777777" w:rsidTr="000A7C9F">
        <w:trPr>
          <w:trHeight w:val="20"/>
        </w:trPr>
        <w:tc>
          <w:tcPr>
            <w:tcW w:w="531" w:type="pct"/>
          </w:tcPr>
          <w:p w14:paraId="4645EFA5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6" w:type="pct"/>
          </w:tcPr>
          <w:p w14:paraId="040777B8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5" w:type="pct"/>
          </w:tcPr>
          <w:p w14:paraId="494870A8" w14:textId="77777777" w:rsidR="00BF0E1E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 xml:space="preserve">Наименование расходов структурного элемента </w:t>
            </w:r>
          </w:p>
          <w:p w14:paraId="2D887B1A" w14:textId="7B16AE0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8" w:type="pct"/>
          </w:tcPr>
          <w:p w14:paraId="67E76331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27464F" w14:paraId="2AF60685" w14:textId="77777777" w:rsidTr="000A7C9F">
        <w:trPr>
          <w:trHeight w:val="20"/>
        </w:trPr>
        <w:tc>
          <w:tcPr>
            <w:tcW w:w="531" w:type="pct"/>
          </w:tcPr>
          <w:p w14:paraId="3BB7D15F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15E80D05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</w:t>
            </w:r>
          </w:p>
        </w:tc>
        <w:tc>
          <w:tcPr>
            <w:tcW w:w="2075" w:type="pct"/>
          </w:tcPr>
          <w:p w14:paraId="024834B0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14:paraId="2719FC6F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4</w:t>
            </w:r>
          </w:p>
        </w:tc>
      </w:tr>
      <w:tr w:rsidR="007F1888" w:rsidRPr="0027464F" w14:paraId="0BDC4C66" w14:textId="77777777" w:rsidTr="000A7C9F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27464F" w14:paraId="6213F6AD" w14:textId="77777777" w:rsidTr="000A7C9F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422D61F6" w14:textId="3698F5DE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A9029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</w:t>
            </w:r>
            <w:r w:rsidR="00BF0E1E">
              <w:rPr>
                <w:rStyle w:val="211pt"/>
                <w:rFonts w:eastAsia="Calibri"/>
              </w:rPr>
              <w:t>ниях района</w:t>
            </w:r>
          </w:p>
        </w:tc>
      </w:tr>
      <w:tr w:rsidR="0027464F" w:rsidRPr="0027464F" w14:paraId="176095FD" w14:textId="77777777" w:rsidTr="000A7C9F">
        <w:trPr>
          <w:trHeight w:val="20"/>
        </w:trPr>
        <w:tc>
          <w:tcPr>
            <w:tcW w:w="531" w:type="pct"/>
          </w:tcPr>
          <w:p w14:paraId="32EB42A9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1.</w:t>
            </w:r>
          </w:p>
        </w:tc>
        <w:tc>
          <w:tcPr>
            <w:tcW w:w="1196" w:type="pct"/>
          </w:tcPr>
          <w:p w14:paraId="066911E2" w14:textId="1FEA81CD" w:rsidR="0027464F" w:rsidRPr="00A90291" w:rsidRDefault="0027464F" w:rsidP="00BF0E1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Региональный проект «Спорт</w:t>
            </w:r>
            <w:r w:rsidR="00BF0E1E">
              <w:rPr>
                <w:sz w:val="22"/>
                <w:szCs w:val="22"/>
              </w:rPr>
              <w:t xml:space="preserve"> – </w:t>
            </w:r>
            <w:r w:rsidRPr="00A90291">
              <w:rPr>
                <w:sz w:val="22"/>
                <w:szCs w:val="22"/>
              </w:rPr>
              <w:t>норма жизни»</w:t>
            </w:r>
          </w:p>
        </w:tc>
        <w:tc>
          <w:tcPr>
            <w:tcW w:w="2075" w:type="pct"/>
          </w:tcPr>
          <w:p w14:paraId="07DFBF55" w14:textId="66B00E36" w:rsidR="0027464F" w:rsidRPr="00A90291" w:rsidRDefault="00BF0E1E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27464F" w:rsidRPr="00A90291">
              <w:rPr>
                <w:rFonts w:ascii="Times New Roman" w:hAnsi="Times New Roman"/>
                <w:sz w:val="22"/>
                <w:szCs w:val="22"/>
              </w:rPr>
              <w:t>частие в региональных и другого уровня соревнованиях (спорт высших достижений</w:t>
            </w:r>
            <w:r w:rsidR="0027464F" w:rsidRPr="00A90291">
              <w:rPr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14:paraId="2DBBC425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14:paraId="287572FA" w14:textId="77777777" w:rsidTr="000A7C9F">
        <w:trPr>
          <w:trHeight w:val="20"/>
        </w:trPr>
        <w:tc>
          <w:tcPr>
            <w:tcW w:w="531" w:type="pct"/>
          </w:tcPr>
          <w:p w14:paraId="6F66B684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2.</w:t>
            </w:r>
          </w:p>
        </w:tc>
        <w:tc>
          <w:tcPr>
            <w:tcW w:w="1196" w:type="pct"/>
          </w:tcPr>
          <w:p w14:paraId="5274DB37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14:paraId="4EEFC9C2" w14:textId="77777777" w:rsidR="0027464F" w:rsidRPr="00A90291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проведения массовых спортивных и туристических мероприятий для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lastRenderedPageBreak/>
              <w:t>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ценка состояния спортивных объектов п. Горноправдинск для организации тренировочных занятий и проведения физкультурных и спортивны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A90291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A90291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8" w:type="pct"/>
          </w:tcPr>
          <w:p w14:paraId="30FB0181" w14:textId="77777777" w:rsidR="0027464F" w:rsidRPr="00A90291" w:rsidRDefault="000A7C9F" w:rsidP="000A7C9F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от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2021 № 155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Правил 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предоставления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социально ориентированным некоммерческим организациям, за исключением государственных, муниципальных учреждений»</w:t>
            </w:r>
          </w:p>
        </w:tc>
      </w:tr>
      <w:tr w:rsidR="00884CB3" w14:paraId="6414E707" w14:textId="77777777" w:rsidTr="000A7C9F">
        <w:trPr>
          <w:trHeight w:val="20"/>
        </w:trPr>
        <w:tc>
          <w:tcPr>
            <w:tcW w:w="531" w:type="pct"/>
            <w:shd w:val="clear" w:color="auto" w:fill="auto"/>
          </w:tcPr>
          <w:p w14:paraId="3CC8B4BE" w14:textId="77777777" w:rsidR="00884CB3" w:rsidRPr="00A90291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lastRenderedPageBreak/>
              <w:t>3</w:t>
            </w:r>
            <w:r w:rsidR="00884CB3" w:rsidRPr="00A90291">
              <w:rPr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14:paraId="7ACAA148" w14:textId="77777777" w:rsidR="00884CB3" w:rsidRPr="00A90291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5" w:type="pct"/>
            <w:shd w:val="clear" w:color="auto" w:fill="auto"/>
          </w:tcPr>
          <w:p w14:paraId="4A9A3334" w14:textId="028249C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</w:t>
            </w:r>
            <w:r w:rsidR="00BF0E1E">
              <w:rPr>
                <w:rFonts w:ascii="Times New Roman" w:hAnsi="Times New Roman"/>
                <w:sz w:val="22"/>
                <w:szCs w:val="22"/>
              </w:rPr>
              <w:br/>
            </w:r>
            <w:r w:rsidRPr="00A90291">
              <w:rPr>
                <w:rFonts w:ascii="Times New Roman" w:hAnsi="Times New Roman"/>
                <w:sz w:val="22"/>
                <w:szCs w:val="22"/>
              </w:rPr>
              <w:t>в соревнованиях.</w:t>
            </w:r>
          </w:p>
          <w:p w14:paraId="18AB2909" w14:textId="675DC642" w:rsidR="00AA2519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 Субсидия на софинансирование мероприятий на расходы муниципальных образований по развитию сети спортивн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</w:t>
            </w:r>
            <w:r w:rsidR="00BF0E1E">
              <w:rPr>
                <w:rFonts w:ascii="Times New Roman" w:hAnsi="Times New Roman"/>
                <w:sz w:val="22"/>
                <w:szCs w:val="22"/>
              </w:rPr>
              <w:t>«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>Готов к труду и обороне</w:t>
            </w:r>
            <w:r w:rsidR="00BF0E1E">
              <w:rPr>
                <w:rFonts w:ascii="Times New Roman" w:hAnsi="Times New Roman"/>
                <w:sz w:val="22"/>
                <w:szCs w:val="22"/>
              </w:rPr>
              <w:t>»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 (далее </w:t>
            </w:r>
            <w:r w:rsidR="007B0C43">
              <w:rPr>
                <w:rFonts w:ascii="Times New Roman" w:hAnsi="Times New Roman"/>
                <w:sz w:val="22"/>
                <w:szCs w:val="22"/>
              </w:rPr>
              <w:t>–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138BB8C8" w:rsidR="00884CB3" w:rsidRPr="00A90291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спорта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="000A7C9F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1198" w:type="pct"/>
          </w:tcPr>
          <w:p w14:paraId="4F878A2D" w14:textId="17DC500F" w:rsidR="00525479" w:rsidRPr="00A662A2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62A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B25F00" w:rsidRPr="00A662A2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662A2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</w:t>
            </w:r>
            <w:r w:rsidR="00BF0E1E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="00BF0E1E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на софинансирование расходов муниципальных образований </w:t>
            </w:r>
            <w:r w:rsidR="00BF0E1E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>по</w:t>
            </w:r>
            <w:r w:rsidR="00884CB3" w:rsidRPr="00884CB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</w:t>
            </w:r>
            <w:r w:rsidR="00BF0E1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 w:cs="Times New Roman"/>
                <w:sz w:val="22"/>
                <w:szCs w:val="22"/>
              </w:rPr>
              <w:t>в соревнованиях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30.12.2021 №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641-п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4EA5E92" w14:textId="46B2C9DE" w:rsidR="00525479" w:rsidRPr="00A662A2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A662A2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Ханты-Мансийского автономного округа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 Югры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на софинансирование расходов муниципальных образований Ханты-Мансийского автономного округа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 Югры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по развитию сети спортивных объектов шаговой доступности 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утвержденный приложением 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8 постановления правительства 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Ханты-Мансийского автономного окр</w:t>
            </w:r>
            <w:r w:rsid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уга – Югры 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30.12.2021 №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641-п</w:t>
            </w:r>
          </w:p>
          <w:p w14:paraId="20C31395" w14:textId="3325C88A" w:rsidR="00525479" w:rsidRPr="00525479" w:rsidRDefault="0052547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210DA2" w14:textId="5C8391D2" w:rsidR="00884CB3" w:rsidRPr="003D42FB" w:rsidRDefault="00884CB3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A2519" w14:paraId="2A2C6768" w14:textId="77777777" w:rsidTr="000A7C9F">
        <w:trPr>
          <w:trHeight w:val="20"/>
        </w:trPr>
        <w:tc>
          <w:tcPr>
            <w:tcW w:w="53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6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5" w:type="pct"/>
          </w:tcPr>
          <w:p w14:paraId="189A8827" w14:textId="2E77F324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</w:t>
            </w:r>
            <w:r w:rsidR="007B0C43" w:rsidRPr="007B0C43">
              <w:rPr>
                <w:rFonts w:ascii="Times New Roman" w:hAnsi="Times New Roman"/>
                <w:sz w:val="22"/>
                <w:szCs w:val="22"/>
              </w:rPr>
              <w:t xml:space="preserve">Ханты-Мансийского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района в оказании услуг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в сфере физической культуры и спорта (содержание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</w:t>
            </w:r>
            <w:r w:rsidR="007B0C43" w:rsidRPr="007B0C43">
              <w:rPr>
                <w:rFonts w:ascii="Times New Roman" w:hAnsi="Times New Roman"/>
                <w:sz w:val="22"/>
                <w:szCs w:val="22"/>
              </w:rPr>
              <w:t xml:space="preserve">Ханты-Мансийского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района 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тствии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с муниципальным заданием;</w:t>
            </w:r>
          </w:p>
          <w:p w14:paraId="7B65FEE1" w14:textId="7DF555E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</w:t>
            </w:r>
            <w:r w:rsidR="007B0C43">
              <w:rPr>
                <w:rFonts w:ascii="Times New Roman" w:hAnsi="Times New Roman"/>
                <w:sz w:val="22"/>
                <w:szCs w:val="22"/>
              </w:rPr>
              <w:t>ное управление спортивной школе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п. Луговской,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«Имитуй»)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8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30C55E4" w14:textId="77777777" w:rsidR="00E95A13" w:rsidRDefault="00E95A13" w:rsidP="007B0C4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C7FF6F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2063"/>
        <w:gridCol w:w="2852"/>
      </w:tblGrid>
      <w:tr w:rsidR="00D94064" w:rsidRPr="00965AB4" w14:paraId="619C86E8" w14:textId="77777777" w:rsidTr="003D42FB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14:paraId="438CAE69" w14:textId="77777777" w:rsidTr="003D42F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14:paraId="5C64FACF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14:paraId="7FAE3A9D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14:paraId="54AD6FA5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14:paraId="6B89A81D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детей и молодежи, систематически занимающихся физической культурой и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14:paraId="706312D3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14:paraId="27666667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14:paraId="34A74C6E" w14:textId="77777777" w:rsidTr="003D42FB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7F1888" w:rsidRPr="00965AB4" w:rsidRDefault="003D42FB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ACE01" w14:textId="47ED6DE3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</w:t>
            </w:r>
            <w:r w:rsidR="007B0C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DE485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461DD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20D2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6ECD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14:paraId="42E020E1" w14:textId="77777777" w:rsidTr="003D42F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DCE6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14:paraId="3E8E880A" w14:textId="77777777" w:rsidR="00D568B6" w:rsidRDefault="00D568B6" w:rsidP="007B0C43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62E3153A" w14:textId="77777777" w:rsidR="00A662A2" w:rsidRDefault="00A662A2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238CC" w14:textId="77777777" w:rsidR="00A662A2" w:rsidRDefault="00A662A2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D77C0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7FC3C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4A75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96157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823BE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3A508257" w14:textId="77777777" w:rsidR="00672A10" w:rsidRPr="005661AE" w:rsidRDefault="00672A10" w:rsidP="00672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14:paraId="3DA5065E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217EA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14:paraId="00B9F8FE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lastRenderedPageBreak/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0A7C9F">
        <w:tc>
          <w:tcPr>
            <w:tcW w:w="1300" w:type="dxa"/>
          </w:tcPr>
          <w:p w14:paraId="6B6EA902" w14:textId="77777777" w:rsidR="00D568B6" w:rsidRPr="00D77399" w:rsidRDefault="00D568B6" w:rsidP="007B0C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0A7C9F">
        <w:tc>
          <w:tcPr>
            <w:tcW w:w="1300" w:type="dxa"/>
          </w:tcPr>
          <w:p w14:paraId="2CA308A8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0A7C9F">
        <w:tc>
          <w:tcPr>
            <w:tcW w:w="1300" w:type="dxa"/>
          </w:tcPr>
          <w:p w14:paraId="437EDA29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Субсидия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14:paraId="480A62C8" w14:textId="77777777" w:rsidTr="000A7C9F">
        <w:tc>
          <w:tcPr>
            <w:tcW w:w="1300" w:type="dxa"/>
          </w:tcPr>
          <w:p w14:paraId="00FCC0D3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935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3D0D" w14:textId="77777777" w:rsidR="00D568B6" w:rsidRPr="002F5A6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869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C300166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3444A212" w14:textId="78B26391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1086D075" w14:textId="77777777" w:rsidTr="000A7C9F">
        <w:tc>
          <w:tcPr>
            <w:tcW w:w="1300" w:type="dxa"/>
          </w:tcPr>
          <w:p w14:paraId="517C6F1E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92B9" w14:textId="77777777" w:rsidR="007B0C43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Спартакиада-фестиваль Всероссийского физкультурно-спортивного комплекса «Готов к труду и обороне» среди ветеранов спорта </w:t>
            </w:r>
          </w:p>
          <w:p w14:paraId="2DBFB149" w14:textId="7CFB865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9C3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892D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EA2B6BF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55ED6D4C" w14:textId="7349AE00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568B6" w14:paraId="6E7E5D1E" w14:textId="77777777" w:rsidTr="000A7C9F">
        <w:tc>
          <w:tcPr>
            <w:tcW w:w="1300" w:type="dxa"/>
          </w:tcPr>
          <w:p w14:paraId="1EF7D5CC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1C4E5A1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CA53680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4E208F5" w14:textId="1928BA1F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568B6" w14:paraId="61EE6DAC" w14:textId="77777777" w:rsidTr="000A7C9F">
        <w:tc>
          <w:tcPr>
            <w:tcW w:w="1300" w:type="dxa"/>
          </w:tcPr>
          <w:p w14:paraId="00C737FF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0736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85DAE37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ABCA40D" w14:textId="1CF16281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66D53B3A" w14:textId="77777777" w:rsidTr="000A7C9F">
        <w:tc>
          <w:tcPr>
            <w:tcW w:w="1300" w:type="dxa"/>
          </w:tcPr>
          <w:p w14:paraId="12F24F5B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DE8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35C9F44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45BFB6D1" w14:textId="4356DA94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3FB3BE4B" w14:textId="77777777" w:rsidTr="000A7C9F">
        <w:tc>
          <w:tcPr>
            <w:tcW w:w="1300" w:type="dxa"/>
          </w:tcPr>
          <w:p w14:paraId="1D4E0EF7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E2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60C48BD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3CB67BAF" w14:textId="504F66DB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6ED2E68C" w14:textId="77777777" w:rsidTr="000A7C9F">
        <w:tc>
          <w:tcPr>
            <w:tcW w:w="1300" w:type="dxa"/>
          </w:tcPr>
          <w:p w14:paraId="6D98154A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27C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129C47D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36301CF0" w14:textId="0A63BC9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4596EE54" w14:textId="77777777" w:rsidTr="000A7C9F">
        <w:tc>
          <w:tcPr>
            <w:tcW w:w="1300" w:type="dxa"/>
          </w:tcPr>
          <w:p w14:paraId="2BE36E04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7E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F46A3C7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590590F5" w14:textId="4405E89A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090D9925" w14:textId="77777777" w:rsidTr="000A7C9F">
        <w:tc>
          <w:tcPr>
            <w:tcW w:w="1300" w:type="dxa"/>
          </w:tcPr>
          <w:p w14:paraId="4A41F8DD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77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1B93795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29DFC822" w14:textId="29962E9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04EBC76C" w14:textId="77777777" w:rsidTr="000A7C9F">
        <w:tc>
          <w:tcPr>
            <w:tcW w:w="1300" w:type="dxa"/>
          </w:tcPr>
          <w:p w14:paraId="69B8DD48" w14:textId="77777777"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0A7C9F">
        <w:tc>
          <w:tcPr>
            <w:tcW w:w="1300" w:type="dxa"/>
          </w:tcPr>
          <w:p w14:paraId="644E38A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51E147A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</w:t>
            </w:r>
            <w:r w:rsidR="007B0C43">
              <w:rPr>
                <w:rFonts w:ascii="Times New Roman" w:hAnsi="Times New Roman"/>
                <w:sz w:val="22"/>
                <w:szCs w:val="22"/>
              </w:rPr>
              <w:t>-ой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DC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1861A12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206AE28" w14:textId="10A2D565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355416E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862D251" w14:textId="77777777" w:rsidTr="000A7C9F">
        <w:tc>
          <w:tcPr>
            <w:tcW w:w="1300" w:type="dxa"/>
          </w:tcPr>
          <w:p w14:paraId="72AC1FFF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B3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A86AD58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7ACD502" w14:textId="2BB4D8B2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0C74656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A0B4DB6" w14:textId="77777777" w:rsidTr="000A7C9F">
        <w:tc>
          <w:tcPr>
            <w:tcW w:w="1300" w:type="dxa"/>
          </w:tcPr>
          <w:p w14:paraId="322B6C9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67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3E9E254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0A8EAAD" w14:textId="4E9C9D29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B3FCF9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41667949" w14:textId="77777777" w:rsidTr="000A7C9F">
        <w:tc>
          <w:tcPr>
            <w:tcW w:w="1300" w:type="dxa"/>
          </w:tcPr>
          <w:p w14:paraId="4EB11D00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980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9461644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233E8AFA" w14:textId="40D12FE1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31666CB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F4D8EC2" w14:textId="77777777" w:rsidTr="000A7C9F">
        <w:tc>
          <w:tcPr>
            <w:tcW w:w="1300" w:type="dxa"/>
          </w:tcPr>
          <w:p w14:paraId="1347AB3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74582791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Командный чемпионат округа по бильярду «Свободная пирамида»,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1D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426AA46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7E633E8B" w14:textId="4A5F099C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0635F5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61481DB" w14:textId="77777777" w:rsidTr="000A7C9F">
        <w:tc>
          <w:tcPr>
            <w:tcW w:w="1300" w:type="dxa"/>
          </w:tcPr>
          <w:p w14:paraId="1D6A6F8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C7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B0078C5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27D82B64" w14:textId="1C25E1E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2B0551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B8D74B4" w14:textId="77777777" w:rsidTr="000A7C9F">
        <w:tc>
          <w:tcPr>
            <w:tcW w:w="1300" w:type="dxa"/>
          </w:tcPr>
          <w:p w14:paraId="5BC666A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5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4F2DEE8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17501FED" w14:textId="245E669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77E5878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C62BB83" w14:textId="77777777" w:rsidTr="000A7C9F">
        <w:tc>
          <w:tcPr>
            <w:tcW w:w="1300" w:type="dxa"/>
          </w:tcPr>
          <w:p w14:paraId="3CC2E07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22B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4926F85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5714B724" w14:textId="10CD11CB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50C2CDEC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F6A551" w14:textId="77777777" w:rsidTr="000A7C9F">
        <w:tc>
          <w:tcPr>
            <w:tcW w:w="1300" w:type="dxa"/>
          </w:tcPr>
          <w:p w14:paraId="52C076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96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6304F5F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7FA1896E" w14:textId="2661B2F3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 культуре, спорту и социальной политике;</w:t>
            </w:r>
          </w:p>
          <w:p w14:paraId="73224D2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A22929B" w14:textId="77777777" w:rsidTr="000A7C9F">
        <w:tc>
          <w:tcPr>
            <w:tcW w:w="1300" w:type="dxa"/>
          </w:tcPr>
          <w:p w14:paraId="6230C74D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97D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D1ADA0A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4DEEB856" w14:textId="5A2B693A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45788A" w14:textId="77777777" w:rsidTr="000A7C9F">
        <w:tc>
          <w:tcPr>
            <w:tcW w:w="1300" w:type="dxa"/>
          </w:tcPr>
          <w:p w14:paraId="7B5F3C9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4A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E70CDBB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8F2C58A" w14:textId="58915BD8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6490E24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72C9FF45" w14:textId="77777777" w:rsidTr="000A7C9F">
        <w:tc>
          <w:tcPr>
            <w:tcW w:w="1300" w:type="dxa"/>
          </w:tcPr>
          <w:p w14:paraId="752E09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5B7D504C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</w:t>
            </w:r>
            <w:r w:rsidR="007B0C43">
              <w:rPr>
                <w:rFonts w:ascii="Times New Roman" w:hAnsi="Times New Roman"/>
                <w:sz w:val="22"/>
                <w:szCs w:val="22"/>
              </w:rPr>
              <w:t>-ой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298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8C97FC9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3D640FAB" w14:textId="0537F08E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2B9F3C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5F8227" w14:textId="77777777" w:rsidTr="000A7C9F">
        <w:tc>
          <w:tcPr>
            <w:tcW w:w="1300" w:type="dxa"/>
          </w:tcPr>
          <w:p w14:paraId="4A52DC1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17E63D9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</w:t>
            </w:r>
            <w:r w:rsidR="007B0C43">
              <w:rPr>
                <w:rFonts w:ascii="Times New Roman" w:hAnsi="Times New Roman"/>
                <w:sz w:val="22"/>
                <w:szCs w:val="22"/>
              </w:rPr>
              <w:t>-ой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A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E142358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42E5DF89" w14:textId="759CC3CD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07BD54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141AC01" w14:textId="77777777" w:rsidTr="000A7C9F">
        <w:tc>
          <w:tcPr>
            <w:tcW w:w="1300" w:type="dxa"/>
          </w:tcPr>
          <w:p w14:paraId="3C10C8D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88B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A1091B3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5AF3A47" w14:textId="08B24E2E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2E5B57B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F7A1902" w14:textId="77777777" w:rsidTr="000A7C9F">
        <w:tc>
          <w:tcPr>
            <w:tcW w:w="1300" w:type="dxa"/>
          </w:tcPr>
          <w:p w14:paraId="4F705AA2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53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B6DFF7F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8B6D9F4" w14:textId="05EF7B3D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9D4457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9C001EC" w14:textId="77777777" w:rsidTr="000A7C9F">
        <w:tc>
          <w:tcPr>
            <w:tcW w:w="1300" w:type="dxa"/>
          </w:tcPr>
          <w:p w14:paraId="3A1E4AB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7D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F578D4E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53F738B6" w14:textId="6CD4C160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E478B83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A5DA0C8" w14:textId="77777777" w:rsidTr="000A7C9F">
        <w:tc>
          <w:tcPr>
            <w:tcW w:w="1300" w:type="dxa"/>
          </w:tcPr>
          <w:p w14:paraId="461692B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5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90B6A20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CB5B78F" w14:textId="05F316FC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124FCC4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8FE0FA3" w14:textId="77777777" w:rsidTr="000A7C9F">
        <w:tc>
          <w:tcPr>
            <w:tcW w:w="1300" w:type="dxa"/>
          </w:tcPr>
          <w:p w14:paraId="14EDE75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1DF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9C56E5A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EEB0768" w14:textId="0627645E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6987C78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2D05875" w14:textId="77777777" w:rsidTr="000A7C9F">
        <w:tc>
          <w:tcPr>
            <w:tcW w:w="1300" w:type="dxa"/>
          </w:tcPr>
          <w:p w14:paraId="65AA9D48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003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0420C51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</w:t>
            </w:r>
          </w:p>
          <w:p w14:paraId="790EC86E" w14:textId="70DF52AB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культуре, спорту и социальной политике;</w:t>
            </w:r>
          </w:p>
          <w:p w14:paraId="472C1FE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F569CB" w14:textId="77777777" w:rsidTr="000A7C9F">
        <w:tc>
          <w:tcPr>
            <w:tcW w:w="1300" w:type="dxa"/>
          </w:tcPr>
          <w:p w14:paraId="0DDE1FD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427362C1" w14:textId="77777777" w:rsidR="007B0C43" w:rsidRDefault="00D568B6" w:rsidP="005661A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</w:t>
            </w:r>
          </w:p>
          <w:p w14:paraId="1D77B8A6" w14:textId="5FA07109"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0A7C9F">
        <w:tc>
          <w:tcPr>
            <w:tcW w:w="1300" w:type="dxa"/>
          </w:tcPr>
          <w:p w14:paraId="52E848CB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Ханты-Мансйского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из Геороя Советского Союза 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1A2D3516" w14:textId="77777777"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535A41BE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7E5C3C7E" w14:textId="77777777" w:rsidTr="000A7C9F">
        <w:tc>
          <w:tcPr>
            <w:tcW w:w="1300" w:type="dxa"/>
          </w:tcPr>
          <w:p w14:paraId="2D7ECB3C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63595685"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А.Ф.</w:t>
            </w:r>
            <w:r w:rsidR="007B0C43">
              <w:rPr>
                <w:rFonts w:ascii="Times New Roman" w:hAnsi="Times New Roman"/>
                <w:sz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6EBD96AA" w14:textId="77777777"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7A49DAC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2BE73B1" w14:textId="77777777" w:rsidTr="000A7C9F">
        <w:tc>
          <w:tcPr>
            <w:tcW w:w="1300" w:type="dxa"/>
          </w:tcPr>
          <w:p w14:paraId="3389B35F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09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CE5461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14:paraId="68C31E55" w14:textId="77777777" w:rsidTr="000A7C9F">
        <w:tc>
          <w:tcPr>
            <w:tcW w:w="1300" w:type="dxa"/>
          </w:tcPr>
          <w:p w14:paraId="2F68FB88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561BFECF" w14:textId="77777777" w:rsidTr="000A7C9F">
        <w:tc>
          <w:tcPr>
            <w:tcW w:w="1300" w:type="dxa"/>
          </w:tcPr>
          <w:p w14:paraId="206F85C9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0C8453E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B92B44E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B717CEF" w14:textId="77777777" w:rsidTr="000A7C9F">
        <w:tc>
          <w:tcPr>
            <w:tcW w:w="1300" w:type="dxa"/>
          </w:tcPr>
          <w:p w14:paraId="0B0B2950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05A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306485E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271BF716" w14:textId="77777777" w:rsidTr="000A7C9F">
        <w:tc>
          <w:tcPr>
            <w:tcW w:w="1300" w:type="dxa"/>
          </w:tcPr>
          <w:p w14:paraId="6BD28F0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6EC187" w14:textId="77777777"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 xml:space="preserve">Ханты-Мансийского района </w:t>
            </w:r>
          </w:p>
          <w:p w14:paraId="4503352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</w:tbl>
    <w:p w14:paraId="76E2C481" w14:textId="6E21A197" w:rsidR="00D568B6" w:rsidRPr="00D77399" w:rsidRDefault="007B0C43" w:rsidP="007B0C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0FD18" w14:textId="77777777" w:rsidR="007B0C43" w:rsidRPr="00074AD7" w:rsidRDefault="007B0C43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DC50" w14:textId="7B681A90" w:rsidR="00D568B6" w:rsidRPr="009B0F95" w:rsidRDefault="00074AD7" w:rsidP="009B0F95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</w:t>
      </w:r>
      <w:r w:rsidR="007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К.Р.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p w14:paraId="64B5D5C8" w14:textId="77777777" w:rsidR="00D568B6" w:rsidRPr="00931930" w:rsidRDefault="00D568B6" w:rsidP="009B0F95">
      <w:pPr>
        <w:pStyle w:val="22"/>
        <w:shd w:val="clear" w:color="auto" w:fill="auto"/>
        <w:spacing w:before="0" w:after="0" w:line="240" w:lineRule="auto"/>
        <w:ind w:right="57"/>
        <w:rPr>
          <w:color w:val="000000" w:themeColor="text1"/>
        </w:rPr>
      </w:pPr>
    </w:p>
    <w:sectPr w:rsidR="00D568B6" w:rsidRPr="00931930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F2AF" w14:textId="77777777" w:rsidR="002829DC" w:rsidRDefault="002829DC">
      <w:pPr>
        <w:spacing w:after="0" w:line="240" w:lineRule="auto"/>
      </w:pPr>
      <w:r>
        <w:separator/>
      </w:r>
    </w:p>
  </w:endnote>
  <w:endnote w:type="continuationSeparator" w:id="0">
    <w:p w14:paraId="079E37AE" w14:textId="77777777" w:rsidR="002829DC" w:rsidRDefault="0028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501A" w14:textId="77777777" w:rsidR="002829DC" w:rsidRDefault="002829DC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2829DC" w:rsidRDefault="002829D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B30F" w14:textId="77777777" w:rsidR="002829DC" w:rsidRDefault="002829DC">
      <w:pPr>
        <w:spacing w:after="0" w:line="240" w:lineRule="auto"/>
      </w:pPr>
      <w:r>
        <w:separator/>
      </w:r>
    </w:p>
  </w:footnote>
  <w:footnote w:type="continuationSeparator" w:id="0">
    <w:p w14:paraId="2B7DD95E" w14:textId="77777777" w:rsidR="002829DC" w:rsidRDefault="0028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1CDF" w14:textId="77777777" w:rsidR="002829DC" w:rsidRPr="005661AE" w:rsidRDefault="002829DC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5863DE">
      <w:rPr>
        <w:rFonts w:ascii="Times New Roman" w:hAnsi="Times New Roman"/>
        <w:noProof/>
        <w:sz w:val="24"/>
      </w:rPr>
      <w:t>3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1E73" w14:textId="77777777" w:rsidR="002829DC" w:rsidRDefault="002829D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2829DC" w:rsidRDefault="002829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5383"/>
    <w:rsid w:val="00006F8E"/>
    <w:rsid w:val="00007C40"/>
    <w:rsid w:val="00010C1D"/>
    <w:rsid w:val="000112B3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10C4"/>
    <w:rsid w:val="00064F30"/>
    <w:rsid w:val="0006651D"/>
    <w:rsid w:val="00074AD7"/>
    <w:rsid w:val="00080A9B"/>
    <w:rsid w:val="000830BA"/>
    <w:rsid w:val="000843BD"/>
    <w:rsid w:val="00091869"/>
    <w:rsid w:val="000A214F"/>
    <w:rsid w:val="000A7C9F"/>
    <w:rsid w:val="000B59FE"/>
    <w:rsid w:val="000B7AC6"/>
    <w:rsid w:val="000C0EB3"/>
    <w:rsid w:val="000D3006"/>
    <w:rsid w:val="000D7047"/>
    <w:rsid w:val="000E4D56"/>
    <w:rsid w:val="000E73EB"/>
    <w:rsid w:val="000F51C4"/>
    <w:rsid w:val="00101143"/>
    <w:rsid w:val="001026CF"/>
    <w:rsid w:val="0010334C"/>
    <w:rsid w:val="001237CB"/>
    <w:rsid w:val="00124C78"/>
    <w:rsid w:val="00125C7A"/>
    <w:rsid w:val="00126B04"/>
    <w:rsid w:val="0013185E"/>
    <w:rsid w:val="00134A6A"/>
    <w:rsid w:val="00136808"/>
    <w:rsid w:val="001406D6"/>
    <w:rsid w:val="00143533"/>
    <w:rsid w:val="00145888"/>
    <w:rsid w:val="0014715E"/>
    <w:rsid w:val="001628A6"/>
    <w:rsid w:val="00162A9E"/>
    <w:rsid w:val="0016453E"/>
    <w:rsid w:val="0017153C"/>
    <w:rsid w:val="00172DAC"/>
    <w:rsid w:val="00183CFA"/>
    <w:rsid w:val="00184581"/>
    <w:rsid w:val="001926E7"/>
    <w:rsid w:val="00197004"/>
    <w:rsid w:val="001A2225"/>
    <w:rsid w:val="001A273A"/>
    <w:rsid w:val="001A2F16"/>
    <w:rsid w:val="001A480A"/>
    <w:rsid w:val="001A7C6D"/>
    <w:rsid w:val="001B4BF2"/>
    <w:rsid w:val="001B58D1"/>
    <w:rsid w:val="001B6EF3"/>
    <w:rsid w:val="001C3E6F"/>
    <w:rsid w:val="001C7607"/>
    <w:rsid w:val="001D2D50"/>
    <w:rsid w:val="001D4A2C"/>
    <w:rsid w:val="001D55C1"/>
    <w:rsid w:val="001E0A68"/>
    <w:rsid w:val="001E32F7"/>
    <w:rsid w:val="001F119E"/>
    <w:rsid w:val="001F3951"/>
    <w:rsid w:val="001F4CC7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29DC"/>
    <w:rsid w:val="00284FCC"/>
    <w:rsid w:val="00291732"/>
    <w:rsid w:val="00294891"/>
    <w:rsid w:val="002A02E3"/>
    <w:rsid w:val="002B1228"/>
    <w:rsid w:val="002B12A1"/>
    <w:rsid w:val="002B3F45"/>
    <w:rsid w:val="002B5C98"/>
    <w:rsid w:val="002B72D5"/>
    <w:rsid w:val="002E12DD"/>
    <w:rsid w:val="002E302A"/>
    <w:rsid w:val="002E41F3"/>
    <w:rsid w:val="002E472D"/>
    <w:rsid w:val="002F01E1"/>
    <w:rsid w:val="002F5515"/>
    <w:rsid w:val="002F59ED"/>
    <w:rsid w:val="00300A25"/>
    <w:rsid w:val="0030226F"/>
    <w:rsid w:val="00313F3C"/>
    <w:rsid w:val="00317A68"/>
    <w:rsid w:val="003223A1"/>
    <w:rsid w:val="00323E47"/>
    <w:rsid w:val="00324CAA"/>
    <w:rsid w:val="00325A79"/>
    <w:rsid w:val="00336E10"/>
    <w:rsid w:val="003457CB"/>
    <w:rsid w:val="0034637E"/>
    <w:rsid w:val="00352E90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7CFD"/>
    <w:rsid w:val="003A2B8D"/>
    <w:rsid w:val="003A310A"/>
    <w:rsid w:val="003A741D"/>
    <w:rsid w:val="003C1347"/>
    <w:rsid w:val="003C18B6"/>
    <w:rsid w:val="003C419E"/>
    <w:rsid w:val="003D070E"/>
    <w:rsid w:val="003D3027"/>
    <w:rsid w:val="003D42FB"/>
    <w:rsid w:val="003D573E"/>
    <w:rsid w:val="003E04C9"/>
    <w:rsid w:val="003E1BCA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32DB0"/>
    <w:rsid w:val="00433CFE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95EA4"/>
    <w:rsid w:val="004A2ADB"/>
    <w:rsid w:val="004A31E0"/>
    <w:rsid w:val="004A6710"/>
    <w:rsid w:val="004A7A1B"/>
    <w:rsid w:val="004C2437"/>
    <w:rsid w:val="004C55A1"/>
    <w:rsid w:val="004D3DDF"/>
    <w:rsid w:val="004E0591"/>
    <w:rsid w:val="004F0D35"/>
    <w:rsid w:val="00507C18"/>
    <w:rsid w:val="00511DBD"/>
    <w:rsid w:val="00515F2A"/>
    <w:rsid w:val="005178B9"/>
    <w:rsid w:val="00525479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2C51"/>
    <w:rsid w:val="005661AE"/>
    <w:rsid w:val="005673AC"/>
    <w:rsid w:val="005747CE"/>
    <w:rsid w:val="00581676"/>
    <w:rsid w:val="005863DE"/>
    <w:rsid w:val="00586FEF"/>
    <w:rsid w:val="00594954"/>
    <w:rsid w:val="00594A6E"/>
    <w:rsid w:val="00595296"/>
    <w:rsid w:val="005952E5"/>
    <w:rsid w:val="005956D1"/>
    <w:rsid w:val="005A3AC7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5F7A2A"/>
    <w:rsid w:val="00600917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48A5"/>
    <w:rsid w:val="00645F25"/>
    <w:rsid w:val="00650D95"/>
    <w:rsid w:val="00662275"/>
    <w:rsid w:val="00672A10"/>
    <w:rsid w:val="00681266"/>
    <w:rsid w:val="00681DEF"/>
    <w:rsid w:val="006916E1"/>
    <w:rsid w:val="00692530"/>
    <w:rsid w:val="00693698"/>
    <w:rsid w:val="00693FC3"/>
    <w:rsid w:val="00695376"/>
    <w:rsid w:val="006A426F"/>
    <w:rsid w:val="006B3392"/>
    <w:rsid w:val="006B4E7D"/>
    <w:rsid w:val="006C1A0F"/>
    <w:rsid w:val="006C1AD4"/>
    <w:rsid w:val="006C527F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1989"/>
    <w:rsid w:val="007233F5"/>
    <w:rsid w:val="00726058"/>
    <w:rsid w:val="00727408"/>
    <w:rsid w:val="00733249"/>
    <w:rsid w:val="0073530B"/>
    <w:rsid w:val="00741C4D"/>
    <w:rsid w:val="00746D17"/>
    <w:rsid w:val="007525D0"/>
    <w:rsid w:val="007575BF"/>
    <w:rsid w:val="00763E41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A3978"/>
    <w:rsid w:val="007A54C9"/>
    <w:rsid w:val="007B02EC"/>
    <w:rsid w:val="007B0C43"/>
    <w:rsid w:val="007B1E17"/>
    <w:rsid w:val="007B3E1D"/>
    <w:rsid w:val="007C1D13"/>
    <w:rsid w:val="007C38BB"/>
    <w:rsid w:val="007C5E3A"/>
    <w:rsid w:val="007C6061"/>
    <w:rsid w:val="007D2FCF"/>
    <w:rsid w:val="007D4C8D"/>
    <w:rsid w:val="007D5407"/>
    <w:rsid w:val="007D5963"/>
    <w:rsid w:val="007E1DF7"/>
    <w:rsid w:val="007F1888"/>
    <w:rsid w:val="007F7734"/>
    <w:rsid w:val="00802CC0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31930"/>
    <w:rsid w:val="00943348"/>
    <w:rsid w:val="009522F5"/>
    <w:rsid w:val="0095305C"/>
    <w:rsid w:val="009579B6"/>
    <w:rsid w:val="009626DE"/>
    <w:rsid w:val="00963540"/>
    <w:rsid w:val="00963C1C"/>
    <w:rsid w:val="009646FC"/>
    <w:rsid w:val="00965AB4"/>
    <w:rsid w:val="00970F8A"/>
    <w:rsid w:val="009719CA"/>
    <w:rsid w:val="009A5725"/>
    <w:rsid w:val="009B0F95"/>
    <w:rsid w:val="009B1C5C"/>
    <w:rsid w:val="009B28A9"/>
    <w:rsid w:val="009B4FCA"/>
    <w:rsid w:val="009B5581"/>
    <w:rsid w:val="009B703C"/>
    <w:rsid w:val="009C2EC6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0AE4"/>
    <w:rsid w:val="00A02194"/>
    <w:rsid w:val="00A0598C"/>
    <w:rsid w:val="00A06EBF"/>
    <w:rsid w:val="00A07245"/>
    <w:rsid w:val="00A0775E"/>
    <w:rsid w:val="00A1334A"/>
    <w:rsid w:val="00A16DE0"/>
    <w:rsid w:val="00A263A0"/>
    <w:rsid w:val="00A26D50"/>
    <w:rsid w:val="00A40279"/>
    <w:rsid w:val="00A44EFF"/>
    <w:rsid w:val="00A535A9"/>
    <w:rsid w:val="00A57B14"/>
    <w:rsid w:val="00A60955"/>
    <w:rsid w:val="00A656EB"/>
    <w:rsid w:val="00A662A2"/>
    <w:rsid w:val="00A721CB"/>
    <w:rsid w:val="00A747BE"/>
    <w:rsid w:val="00A80C1F"/>
    <w:rsid w:val="00A90291"/>
    <w:rsid w:val="00A90FF0"/>
    <w:rsid w:val="00A93239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72B5"/>
    <w:rsid w:val="00B41C13"/>
    <w:rsid w:val="00B434DF"/>
    <w:rsid w:val="00B43C6B"/>
    <w:rsid w:val="00B630BA"/>
    <w:rsid w:val="00B7064F"/>
    <w:rsid w:val="00B71C86"/>
    <w:rsid w:val="00B72F81"/>
    <w:rsid w:val="00B74545"/>
    <w:rsid w:val="00B77566"/>
    <w:rsid w:val="00B81E3B"/>
    <w:rsid w:val="00B920F5"/>
    <w:rsid w:val="00B94766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34D9"/>
    <w:rsid w:val="00BE4E7F"/>
    <w:rsid w:val="00BF0E1E"/>
    <w:rsid w:val="00BF5443"/>
    <w:rsid w:val="00C12C9D"/>
    <w:rsid w:val="00C13711"/>
    <w:rsid w:val="00C17778"/>
    <w:rsid w:val="00C2235E"/>
    <w:rsid w:val="00C265C8"/>
    <w:rsid w:val="00C3231A"/>
    <w:rsid w:val="00C35B53"/>
    <w:rsid w:val="00C3733B"/>
    <w:rsid w:val="00C40BB0"/>
    <w:rsid w:val="00C432AA"/>
    <w:rsid w:val="00C44610"/>
    <w:rsid w:val="00C46A53"/>
    <w:rsid w:val="00C51566"/>
    <w:rsid w:val="00C56560"/>
    <w:rsid w:val="00C56AC7"/>
    <w:rsid w:val="00C605AE"/>
    <w:rsid w:val="00C605F8"/>
    <w:rsid w:val="00C72497"/>
    <w:rsid w:val="00C75F3D"/>
    <w:rsid w:val="00C816EA"/>
    <w:rsid w:val="00C838D0"/>
    <w:rsid w:val="00C86CC2"/>
    <w:rsid w:val="00C8738E"/>
    <w:rsid w:val="00C94002"/>
    <w:rsid w:val="00C94C39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D1392C"/>
    <w:rsid w:val="00D20783"/>
    <w:rsid w:val="00D259C9"/>
    <w:rsid w:val="00D35DB0"/>
    <w:rsid w:val="00D3708B"/>
    <w:rsid w:val="00D41648"/>
    <w:rsid w:val="00D419E6"/>
    <w:rsid w:val="00D44C81"/>
    <w:rsid w:val="00D47381"/>
    <w:rsid w:val="00D5149E"/>
    <w:rsid w:val="00D55F58"/>
    <w:rsid w:val="00D56719"/>
    <w:rsid w:val="00D568B6"/>
    <w:rsid w:val="00D61952"/>
    <w:rsid w:val="00D704F9"/>
    <w:rsid w:val="00D7155B"/>
    <w:rsid w:val="00D72B88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66DE"/>
    <w:rsid w:val="00E77C8C"/>
    <w:rsid w:val="00E822F0"/>
    <w:rsid w:val="00E84D10"/>
    <w:rsid w:val="00E84ECA"/>
    <w:rsid w:val="00E85253"/>
    <w:rsid w:val="00E95A13"/>
    <w:rsid w:val="00EA4F62"/>
    <w:rsid w:val="00EA516A"/>
    <w:rsid w:val="00EB1CDE"/>
    <w:rsid w:val="00EB3019"/>
    <w:rsid w:val="00EC3149"/>
    <w:rsid w:val="00EC58F3"/>
    <w:rsid w:val="00EC70B8"/>
    <w:rsid w:val="00ED4C12"/>
    <w:rsid w:val="00ED56E2"/>
    <w:rsid w:val="00EE4BC1"/>
    <w:rsid w:val="00EF1B20"/>
    <w:rsid w:val="00EF230A"/>
    <w:rsid w:val="00EF45E2"/>
    <w:rsid w:val="00EF461F"/>
    <w:rsid w:val="00F04BBA"/>
    <w:rsid w:val="00F140E6"/>
    <w:rsid w:val="00F1655E"/>
    <w:rsid w:val="00F1787A"/>
    <w:rsid w:val="00F2000D"/>
    <w:rsid w:val="00F218C8"/>
    <w:rsid w:val="00F21C4F"/>
    <w:rsid w:val="00F2442A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80AFE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C629F"/>
    <w:rsid w:val="00FD5C07"/>
    <w:rsid w:val="00FE012D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6CCAB775-16AD-4077-8F10-43EAB2EC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A6FF-16D5-4543-9B59-37342D6B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Лебедева Г.В.</cp:lastModifiedBy>
  <cp:revision>2</cp:revision>
  <cp:lastPrinted>2022-09-21T06:24:00Z</cp:lastPrinted>
  <dcterms:created xsi:type="dcterms:W3CDTF">2022-09-21T07:50:00Z</dcterms:created>
  <dcterms:modified xsi:type="dcterms:W3CDTF">2022-09-21T07:50:00Z</dcterms:modified>
</cp:coreProperties>
</file>