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5E6CF7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</w:t>
      </w:r>
      <w:r w:rsidR="00F93046" w:rsidRPr="00FE4AFB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</w:t>
      </w:r>
      <w:r w:rsidR="00F93046" w:rsidRPr="00FE4AFB">
        <w:rPr>
          <w:rFonts w:ascii="Times New Roman" w:hAnsi="Times New Roman"/>
          <w:sz w:val="28"/>
          <w:szCs w:val="28"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42"/>
      </w:tblGrid>
      <w:tr w:rsidR="00F93046" w:rsidRPr="00FE4AFB" w:rsidTr="00AD71CA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F93046" w:rsidRPr="00FE4AFB" w:rsidTr="00AD71CA">
        <w:trPr>
          <w:trHeight w:val="158"/>
        </w:trPr>
        <w:tc>
          <w:tcPr>
            <w:tcW w:w="275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F93046" w:rsidRPr="00A169B4" w:rsidRDefault="00F93046" w:rsidP="005E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«</w:t>
            </w:r>
            <w:r w:rsidR="005E6CF7" w:rsidRPr="00A169B4">
              <w:rPr>
                <w:rFonts w:ascii="Times New Roman" w:hAnsi="Times New Roman"/>
                <w:sz w:val="24"/>
                <w:szCs w:val="24"/>
              </w:rPr>
              <w:t>16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>»</w:t>
            </w:r>
            <w:r w:rsidR="005E6CF7" w:rsidRPr="00A169B4">
              <w:rPr>
                <w:rFonts w:ascii="Times New Roman" w:hAnsi="Times New Roman"/>
                <w:sz w:val="24"/>
                <w:szCs w:val="24"/>
              </w:rPr>
              <w:t xml:space="preserve"> марта 2023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93046" w:rsidRPr="00FE4AFB" w:rsidTr="00AD71CA">
        <w:trPr>
          <w:trHeight w:val="157"/>
        </w:trPr>
        <w:tc>
          <w:tcPr>
            <w:tcW w:w="275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F93046" w:rsidRPr="00A169B4" w:rsidRDefault="00F93046" w:rsidP="005E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«</w:t>
            </w:r>
            <w:r w:rsidR="005E6CF7" w:rsidRPr="00A169B4">
              <w:rPr>
                <w:rFonts w:ascii="Times New Roman" w:hAnsi="Times New Roman"/>
                <w:sz w:val="24"/>
                <w:szCs w:val="24"/>
              </w:rPr>
              <w:t>29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>»</w:t>
            </w:r>
            <w:r w:rsidR="005E6CF7" w:rsidRPr="00A169B4">
              <w:rPr>
                <w:rFonts w:ascii="Times New Roman" w:hAnsi="Times New Roman"/>
                <w:sz w:val="24"/>
                <w:szCs w:val="24"/>
              </w:rPr>
              <w:t xml:space="preserve"> марта 2023</w:t>
            </w:r>
            <w:r w:rsidRPr="00A169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93046" w:rsidRPr="00FE4AFB" w:rsidTr="00AD71CA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F93046" w:rsidRPr="00FE4AFB" w:rsidTr="00AD71CA">
        <w:trPr>
          <w:trHeight w:val="157"/>
        </w:trPr>
        <w:tc>
          <w:tcPr>
            <w:tcW w:w="275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Всего замечаний и предложений,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2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Указывается количество</w:t>
            </w:r>
          </w:p>
        </w:tc>
      </w:tr>
      <w:tr w:rsidR="00F93046" w:rsidRPr="00FE4AFB" w:rsidTr="00AD71CA">
        <w:trPr>
          <w:trHeight w:val="157"/>
        </w:trPr>
        <w:tc>
          <w:tcPr>
            <w:tcW w:w="275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rPr>
          <w:trHeight w:val="157"/>
        </w:trPr>
        <w:tc>
          <w:tcPr>
            <w:tcW w:w="275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rPr>
          <w:trHeight w:val="157"/>
        </w:trPr>
        <w:tc>
          <w:tcPr>
            <w:tcW w:w="275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3046" w:rsidRDefault="00F93046" w:rsidP="00F93046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93046" w:rsidRPr="00FE4AFB" w:rsidRDefault="00F93046" w:rsidP="00F9304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7"/>
        <w:gridCol w:w="5271"/>
      </w:tblGrid>
      <w:tr w:rsidR="00F93046" w:rsidRPr="00FE4AFB" w:rsidTr="00AD71CA">
        <w:tc>
          <w:tcPr>
            <w:tcW w:w="336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F93046" w:rsidRPr="00A169B4" w:rsidRDefault="00A169B4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F93046" w:rsidRPr="00FE4AFB" w:rsidTr="00AD71CA">
        <w:trPr>
          <w:trHeight w:val="1267"/>
        </w:trPr>
        <w:tc>
          <w:tcPr>
            <w:tcW w:w="336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F93046" w:rsidRPr="00A169B4" w:rsidRDefault="00A169B4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(указываются полное и краткое наименования)</w:t>
            </w:r>
          </w:p>
        </w:tc>
      </w:tr>
      <w:tr w:rsidR="00F93046" w:rsidRPr="00FE4AFB" w:rsidTr="00AD71CA">
        <w:trPr>
          <w:trHeight w:val="991"/>
        </w:trPr>
        <w:tc>
          <w:tcPr>
            <w:tcW w:w="336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</w:p>
          <w:p w:rsidR="00F93046" w:rsidRPr="00FE4AFB" w:rsidRDefault="00A169B4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администрации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rPr>
          <w:trHeight w:val="1563"/>
        </w:trPr>
        <w:tc>
          <w:tcPr>
            <w:tcW w:w="336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F93046" w:rsidRPr="00A169B4" w:rsidRDefault="00A169B4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подготовлен с целью приведения в соответствие с Федеральным законом от 31.07.1998 №146-ФЗ «Налоговый кодекс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      </w:r>
            <w:r w:rsidRPr="00A169B4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336" w:type="pct"/>
            <w:vMerge w:val="restar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F93046" w:rsidRPr="00FE4AFB" w:rsidTr="00AD71CA">
        <w:tc>
          <w:tcPr>
            <w:tcW w:w="336" w:type="pct"/>
            <w:vMerge/>
            <w:shd w:val="clear" w:color="auto" w:fill="auto"/>
          </w:tcPr>
          <w:p w:rsidR="00F93046" w:rsidRPr="00FE4AFB" w:rsidRDefault="00F93046" w:rsidP="00AD7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46" w:rsidRPr="00A169B4" w:rsidRDefault="00A169B4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9B4">
              <w:rPr>
                <w:rFonts w:ascii="Times New Roman" w:hAnsi="Times New Roman"/>
                <w:sz w:val="24"/>
                <w:szCs w:val="24"/>
              </w:rPr>
              <w:t>Гайсинская Оксана Алексеевна</w:t>
            </w:r>
          </w:p>
        </w:tc>
      </w:tr>
      <w:tr w:rsidR="00F93046" w:rsidRPr="00FE4AFB" w:rsidTr="00AD71CA">
        <w:tc>
          <w:tcPr>
            <w:tcW w:w="336" w:type="pct"/>
            <w:vMerge/>
            <w:shd w:val="clear" w:color="auto" w:fill="auto"/>
          </w:tcPr>
          <w:p w:rsidR="00F93046" w:rsidRPr="00FE4AFB" w:rsidRDefault="00F93046" w:rsidP="00AD7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46" w:rsidRPr="00A169B4" w:rsidRDefault="00A169B4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 отдела труда, предпринимательства и потребительского рынка комитета экономической политики</w:t>
            </w:r>
          </w:p>
        </w:tc>
      </w:tr>
      <w:tr w:rsidR="00F93046" w:rsidRPr="00FE4AFB" w:rsidTr="00AD71CA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F93046" w:rsidRPr="00FE4AFB" w:rsidRDefault="00F93046" w:rsidP="00AD7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46" w:rsidRPr="00A169B4" w:rsidRDefault="00A169B4" w:rsidP="00A1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(3467) 352-856</w:t>
            </w:r>
          </w:p>
        </w:tc>
      </w:tr>
      <w:tr w:rsidR="00F93046" w:rsidRPr="00FE4AFB" w:rsidTr="00AD71CA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F93046" w:rsidRPr="00FE4AFB" w:rsidRDefault="00F93046" w:rsidP="00AD7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046" w:rsidRPr="00A169B4" w:rsidRDefault="00A169B4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ot@hmrn.ru</w:t>
            </w:r>
          </w:p>
        </w:tc>
      </w:tr>
    </w:tbl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2. Степень регулирующего воздействия </w:t>
      </w: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69"/>
        <w:gridCol w:w="3839"/>
      </w:tblGrid>
      <w:tr w:rsidR="00F93046" w:rsidRPr="00FE4AFB" w:rsidTr="00AD71CA">
        <w:tc>
          <w:tcPr>
            <w:tcW w:w="341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F93046" w:rsidRPr="00A169B4" w:rsidRDefault="00A169B4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(высокая/ средняя/ низкая)</w:t>
            </w:r>
          </w:p>
        </w:tc>
      </w:tr>
      <w:tr w:rsidR="00F93046" w:rsidRPr="00FE4AFB" w:rsidTr="00AD71CA">
        <w:trPr>
          <w:trHeight w:val="1331"/>
        </w:trPr>
        <w:tc>
          <w:tcPr>
            <w:tcW w:w="341" w:type="pct"/>
            <w:shd w:val="clear" w:color="auto" w:fill="auto"/>
          </w:tcPr>
          <w:p w:rsidR="00F93046" w:rsidRPr="006C136E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C136E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F93046" w:rsidRPr="006C136E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6E">
              <w:rPr>
                <w:rFonts w:ascii="Times New Roman" w:hAnsi="Times New Roman"/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F93046" w:rsidRPr="00594430" w:rsidRDefault="006C136E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30"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содержит положения, изменяющие ранее предусмотренные законодательством Российской Федерации и иными нормативными правовыми актами обязанности для субъектов предпринимательской и иной экономической деятельности</w:t>
            </w:r>
          </w:p>
          <w:p w:rsidR="00F93046" w:rsidRPr="006C136E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36E">
              <w:rPr>
                <w:rFonts w:ascii="Times New Roman" w:eastAsia="Calibri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F93046" w:rsidRPr="00594430" w:rsidRDefault="00594430" w:rsidP="00594430">
            <w:pPr>
              <w:spacing w:after="0" w:line="264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30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вступлением в силу с 01 января 2023 года Федерального закона Российской Федерации от 14.07.2022 № 263</w:t>
            </w:r>
            <w:r w:rsidRPr="00594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-ФЗ «</w:t>
            </w:r>
            <w:hyperlink r:id="rId6" w:history="1">
              <w:r w:rsidRPr="00594430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 внесении изменений в части первую и вторую Налогового кодекса Российской Федерации</w:t>
              </w:r>
            </w:hyperlink>
            <w:r w:rsidRPr="00594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4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вводящий институт единого налогового счета (и единого налогового платежа) для всех налогоплательщиков </w:t>
            </w:r>
            <w:r w:rsidRPr="0059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Межрайонной инспекции Федеральной налоговой службы № 1 по Ханты-Мансийскому автономному округу – Югре нет возможности формировать сведения </w:t>
            </w:r>
            <w:r w:rsidRPr="005944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Pr="0059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информационного взаимодействия «Система исполнения регламентов СИР 3.1» на дату, указанную в запросе. В связи с этим требования, котором должен соответствовать участник отбора должны быть </w:t>
            </w:r>
            <w:r w:rsidRPr="0059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подтверждены </w:t>
            </w:r>
            <w:r w:rsidRPr="00594430">
              <w:rPr>
                <w:rFonts w:ascii="Times New Roman" w:eastAsia="Calibri" w:hAnsi="Times New Roman" w:cs="Times New Roman"/>
                <w:sz w:val="24"/>
                <w:szCs w:val="24"/>
              </w:rPr>
              <w:t>на 1-е число месяца, в котором планируется рассмотрение поступивших заявок.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59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 субъектов малого и среднего предпринимательства не нарушены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F93046" w:rsidRPr="00594430" w:rsidRDefault="00594430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утствуют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rPr>
          <w:trHeight w:val="1512"/>
        </w:trPr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F93046" w:rsidRPr="00FE4AFB" w:rsidRDefault="00594430" w:rsidP="00594430">
            <w:pPr>
              <w:spacing w:after="0" w:line="264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с 30.01.2023 по 08.02.2023 год был объявлен первый отбор </w:t>
            </w:r>
            <w:r w:rsidRPr="00594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 на право предоставления финансовой поддержки (в форме субсидии) в 2023 году, в ходе которого поступила 21 заявка, в</w:t>
            </w:r>
            <w:r w:rsidRPr="0059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соблюдения условий подпункта 2) пункта 23 Порядка должностным лицом комитета экономической политики администрации Ханты-Мансийского района, ответственным за рассмотрение предложений (заявок), поступивших от субъектов малого и среднего предпринимательства с использованием информационного взаимодействия «Система исполнения регламентов СИР 3.1» 10.02.2023 года были сформированы межведомственные запросы на получение сведений </w:t>
            </w:r>
            <w:r w:rsidRPr="005944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15.01.2023 года, сведения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 указанную дату </w:t>
            </w:r>
            <w:r w:rsidRPr="005944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не предоставлены.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Были внесены изменения в</w:t>
            </w:r>
            <w:r w:rsidRPr="005944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94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1 пункта 13 Порядка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пункт 13 подпункта 1 </w:t>
            </w:r>
            <w:r w:rsidRPr="005944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изложен в новой редакции, при этом права субъектов малого и среднего предпринимательства не нарушены. На основании изложенного </w:t>
            </w:r>
            <w:r w:rsidRPr="0059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подпункта 1.2.1.1 пункта 1 проекта постановления предлагается распространить на правоотношения, возникшие с 1 января 2023 года.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F93046" w:rsidRPr="00594430" w:rsidRDefault="00594430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30">
              <w:rPr>
                <w:rFonts w:ascii="Times New Roman" w:hAnsi="Times New Roman"/>
                <w:sz w:val="24"/>
                <w:szCs w:val="24"/>
              </w:rPr>
              <w:t xml:space="preserve">Проблема может быть решена путем внесения в действующий порядок изменений, указанных в п.3.2 настоящего сводного отчета 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594430" w:rsidRPr="00FE4AFB" w:rsidRDefault="00594430" w:rsidP="0059443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:rsidR="00F93046" w:rsidRPr="00FE4AFB" w:rsidRDefault="001A56C4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4. Опыт решения аналогичных проблем в других субъектах </w:t>
      </w: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lastRenderedPageBreak/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F93046" w:rsidRDefault="0057080D" w:rsidP="005708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4"/>
                <w:szCs w:val="24"/>
              </w:rPr>
              <w:t>- Постановление администрации г. Нижневартовска от 26.04.2021 № 336 «Об утверждении порядка предоставления субсидий субъектам малого и среднего предпринимательства» (в редакции от 20.02.2023)</w:t>
            </w:r>
          </w:p>
          <w:p w:rsidR="0057080D" w:rsidRDefault="0057080D" w:rsidP="005708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Лангепаса</w:t>
            </w:r>
            <w:proofErr w:type="spellEnd"/>
            <w:r w:rsidRPr="0057080D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предоставления субсидий субъектам малого и среднего предпринимательства» (в редакции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F93046" w:rsidRPr="0057080D" w:rsidRDefault="00F93046" w:rsidP="005708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046" w:rsidRPr="0057080D" w:rsidRDefault="0057080D" w:rsidP="005708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4"/>
                <w:szCs w:val="24"/>
              </w:rPr>
              <w:t>справочно-правовая система «</w:t>
            </w:r>
            <w:proofErr w:type="spellStart"/>
            <w:r w:rsidRPr="0057080D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57080D">
              <w:rPr>
                <w:rFonts w:ascii="Times New Roman" w:hAnsi="Times New Roman"/>
                <w:sz w:val="24"/>
                <w:szCs w:val="24"/>
              </w:rPr>
              <w:t>», сайты муниципальных образований Ханты-Мансийского</w:t>
            </w:r>
            <w:r w:rsidR="0083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80D">
              <w:rPr>
                <w:rFonts w:ascii="Times New Roman" w:hAnsi="Times New Roman"/>
                <w:sz w:val="24"/>
                <w:szCs w:val="24"/>
              </w:rPr>
              <w:t>автономного округа -Югры</w:t>
            </w:r>
          </w:p>
          <w:p w:rsidR="00F93046" w:rsidRPr="0057080D" w:rsidRDefault="00F93046" w:rsidP="005708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D">
              <w:rPr>
                <w:rFonts w:ascii="Times New Roman" w:hAnsi="Times New Roman"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F93046" w:rsidRPr="00FE4AFB" w:rsidRDefault="00F93046" w:rsidP="00F93046">
      <w:pPr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5.  Цели предлагаемого регулирования и их соответствие принципам правового регулирования, программным документам Губернатора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Правительства </w:t>
      </w:r>
      <w:r>
        <w:rPr>
          <w:rFonts w:ascii="Times New Roman" w:hAnsi="Times New Roman"/>
          <w:sz w:val="28"/>
          <w:szCs w:val="28"/>
        </w:rPr>
        <w:br/>
      </w:r>
      <w:r w:rsidRPr="00FE4AFB">
        <w:rPr>
          <w:rFonts w:ascii="Times New Roman" w:hAnsi="Times New Roman"/>
          <w:sz w:val="28"/>
          <w:szCs w:val="28"/>
        </w:rPr>
        <w:t>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627"/>
        <w:gridCol w:w="752"/>
        <w:gridCol w:w="4117"/>
      </w:tblGrid>
      <w:tr w:rsidR="00F93046" w:rsidRPr="00FE4AFB" w:rsidTr="00AD71CA">
        <w:trPr>
          <w:trHeight w:val="989"/>
        </w:trPr>
        <w:tc>
          <w:tcPr>
            <w:tcW w:w="404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F93046" w:rsidRPr="00FE4AFB" w:rsidTr="00AD71CA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F93046" w:rsidRPr="00FE4AFB" w:rsidRDefault="00797C41" w:rsidP="00797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приведение</w:t>
            </w:r>
            <w:r w:rsidRPr="00797C4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постановления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(далее – Порядок) в соответствие с </w:t>
            </w:r>
            <w:r w:rsidRPr="00797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Федеральным законом от 31.07.1998 №146-ФЗ «Налоговый кодекс Российской Федерации»</w:t>
            </w:r>
            <w:r w:rsidRPr="00797C4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797C4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r w:rsidRPr="00797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      </w:r>
            <w:r w:rsidRPr="00797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F93046" w:rsidRPr="00797C41" w:rsidRDefault="00797C41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97C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01.01.2023</w:t>
            </w:r>
          </w:p>
        </w:tc>
      </w:tr>
      <w:tr w:rsidR="00F93046" w:rsidRPr="00FE4AFB" w:rsidTr="00AD71CA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34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04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797C41" w:rsidRPr="00FE4AFB" w:rsidRDefault="00797C41" w:rsidP="000320C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 xml:space="preserve">Реализация данной цели способствует обеспечению экономической и социальной стабильности в Ханты-Мансийском районе, проект </w:t>
            </w:r>
            <w:r w:rsidR="000320C4">
              <w:rPr>
                <w:rFonts w:ascii="Times New Roman" w:hAnsi="Times New Roman"/>
                <w:sz w:val="24"/>
                <w:szCs w:val="24"/>
              </w:rPr>
              <w:t>п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 xml:space="preserve">остановления  </w:t>
            </w: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r w:rsidR="000320C4">
              <w:rPr>
                <w:rFonts w:ascii="Times New Roman" w:hAnsi="Times New Roman"/>
                <w:sz w:val="24"/>
                <w:szCs w:val="24"/>
              </w:rPr>
              <w:t xml:space="preserve"> ориентирован на реализацию Стратегии социально-экономического развития Ханты-Мансийского автономного округа –Югры до 2036 года с целевым ориентирами до 2050 года, с целью роста активности  малого и среднего предпринимательства, что в свою очередь ведет к повышению эффективности экономики </w:t>
            </w:r>
          </w:p>
          <w:p w:rsidR="00F93046" w:rsidRPr="00FE4AFB" w:rsidRDefault="00797C41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04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F93046" w:rsidRPr="000320C4" w:rsidRDefault="000320C4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6. Описание предлагаемого регулирования и иных возможных </w:t>
      </w: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F93046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0320C4" w:rsidRPr="000320C4" w:rsidRDefault="000320C4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>Проектом вносятся следующие изменения</w:t>
            </w:r>
            <w:r w:rsidRPr="000320C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0320C4" w:rsidRDefault="000320C4" w:rsidP="000320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В разделе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пункте 3</w:t>
            </w:r>
            <w:r w:rsidRPr="00A658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0C4" w:rsidRPr="00A6588F" w:rsidRDefault="000320C4" w:rsidP="000320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-в абзаце первом подпункта 1 после слова «значимых» дополнено словом «приоритетных;».</w:t>
            </w:r>
          </w:p>
          <w:p w:rsidR="000320C4" w:rsidRPr="00A6588F" w:rsidRDefault="000320C4" w:rsidP="000320C4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588F">
              <w:rPr>
                <w:rFonts w:ascii="Times New Roman" w:hAnsi="Times New Roman"/>
                <w:sz w:val="24"/>
                <w:szCs w:val="24"/>
              </w:rPr>
              <w:t xml:space="preserve"> абзаце пятнадцатом подпункта 1 после слова «промыслов,» дополнено словом «для производства и ремонта одежды;». </w:t>
            </w:r>
          </w:p>
          <w:p w:rsidR="000320C4" w:rsidRPr="00A6588F" w:rsidRDefault="000320C4" w:rsidP="000320C4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Абзац шестнадцатый подпункта 1 изложен в новой редакции: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8F">
              <w:rPr>
                <w:rFonts w:ascii="Times New Roman" w:hAnsi="Times New Roman"/>
                <w:sz w:val="24"/>
                <w:szCs w:val="24"/>
              </w:rPr>
              <w:t>разработка макета этикеток для продукции собственного производства и их приобретение.</w:t>
            </w:r>
          </w:p>
          <w:p w:rsidR="000320C4" w:rsidRPr="00A6588F" w:rsidRDefault="000320C4" w:rsidP="000320C4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В абзаце пятом подпункта 4 пункта 9 после слов «(основных средств),» дополнено словами «произведенное (изготовленное) в течение 24 (двадцати четырех) месяцев, предшествующих дате подачи заявки субъектами малого и среднего предпринимательства на отбор;».</w:t>
            </w:r>
          </w:p>
          <w:p w:rsidR="000320C4" w:rsidRPr="00A6588F" w:rsidRDefault="000320C4" w:rsidP="000320C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Дополнен пункт 12: В течение одного финансового года отбор может быть объявлен неоднократно при наличии лимитов бюджетных ассигнований, предусмотренных на данные цели в текущем финансовом году.</w:t>
            </w:r>
          </w:p>
          <w:p w:rsidR="000320C4" w:rsidRPr="00A6588F" w:rsidRDefault="000320C4" w:rsidP="000320C4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Изменены требования</w:t>
            </w:r>
            <w:r w:rsidRPr="00A6588F">
              <w:rPr>
                <w:rFonts w:ascii="Times New Roman" w:hAnsi="Times New Roman"/>
                <w:sz w:val="24"/>
                <w:szCs w:val="24"/>
              </w:rPr>
              <w:t>, которым должны соответствовать участники отбора</w:t>
            </w:r>
          </w:p>
          <w:p w:rsidR="000320C4" w:rsidRPr="00BD62C0" w:rsidRDefault="000320C4" w:rsidP="000320C4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Пункт 14 дополнить подпунктом 6.9</w:t>
            </w:r>
            <w:r w:rsidRPr="00BD62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0C4" w:rsidRPr="00BD62C0" w:rsidRDefault="000320C4" w:rsidP="000320C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>на возмещение затрат, связанных с приобретением оборудования (основных средств) предоставляется:</w:t>
            </w:r>
          </w:p>
          <w:p w:rsidR="000320C4" w:rsidRPr="00BD62C0" w:rsidRDefault="000320C4" w:rsidP="000320C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технический паспорт, или гарантийный талон, или руководство пользователя, или заводские наклейки на оборудование, или другие документы, подтверждающие производство (изготовление) оборудования (основных средств) в течение 24 (двадцати четырех) месяцев, предшествующих дате подачи заявки субъектами малого и среднего предпринимательства на отбор. </w:t>
            </w:r>
          </w:p>
          <w:p w:rsidR="000320C4" w:rsidRDefault="000320C4" w:rsidP="000320C4">
            <w:pPr>
              <w:tabs>
                <w:tab w:val="left" w:pos="17294"/>
                <w:tab w:val="left" w:pos="19845"/>
              </w:tabs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 xml:space="preserve"> Подпункт 5 пункта 31 исключен</w:t>
            </w:r>
            <w:r w:rsidRPr="00BD62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0C4" w:rsidRPr="00BD62C0" w:rsidRDefault="000320C4" w:rsidP="000320C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 xml:space="preserve">по обязательной сертификации произведенной продукции возмещению подлежат фактически произведенные и документально подтвержденные затраты Субъектов в размере не более 80 процентов от общего объема затрат и не более 100 тыс. рублей на одного Субъекта в год;  </w:t>
            </w:r>
          </w:p>
          <w:p w:rsidR="000320C4" w:rsidRDefault="000320C4" w:rsidP="000320C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Подпункт 10 изложен в новой редакции</w:t>
            </w:r>
            <w:r w:rsidRPr="00BD62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0C4" w:rsidRDefault="000320C4" w:rsidP="0003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>по разработке макета этикеток для продукции собственного производства и их приобретению подлежат фактически произведенные и документально подтвержденные затраты Субъектов, в размере 50 процентов, но не более 200 тыс. рублей на одного Субъекта в год.</w:t>
            </w:r>
          </w:p>
          <w:p w:rsidR="000320C4" w:rsidRPr="000320C4" w:rsidRDefault="000320C4" w:rsidP="0003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8F">
              <w:rPr>
                <w:rFonts w:ascii="Times New Roman" w:hAnsi="Times New Roman"/>
                <w:sz w:val="24"/>
                <w:szCs w:val="24"/>
              </w:rPr>
              <w:t>Пункт 32 дополнен подпунктом 6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0C4" w:rsidRPr="00BD62C0" w:rsidRDefault="000320C4" w:rsidP="0003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C0">
              <w:rPr>
                <w:rFonts w:ascii="Times New Roman" w:hAnsi="Times New Roman"/>
                <w:sz w:val="24"/>
                <w:szCs w:val="24"/>
              </w:rPr>
              <w:t>по разработке макета этикеток для продукции собственного производства и их приобретению подлежат фактически произведенные и документально подтвержденные затраты Субъектов, в размере 50 процентов, но не более 200 тыс. рублей на одного Субъекта в год.</w:t>
            </w:r>
          </w:p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320C4" w:rsidRPr="00FE4AFB" w:rsidRDefault="000320C4" w:rsidP="000320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 xml:space="preserve">Проблема может быть решена путем издания в новой редакции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F93046" w:rsidRPr="000320C4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0320C4" w:rsidRPr="000320C4" w:rsidRDefault="000320C4" w:rsidP="000320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C4">
              <w:rPr>
                <w:rFonts w:ascii="Times New Roman" w:hAnsi="Times New Roman"/>
                <w:sz w:val="24"/>
                <w:szCs w:val="24"/>
              </w:rPr>
              <w:t>В целях решения проблемы предлагается внести изменения в действующий муниципальный нормативный правовой акт</w:t>
            </w:r>
            <w:r w:rsidR="008345C6">
              <w:rPr>
                <w:rFonts w:ascii="Times New Roman" w:hAnsi="Times New Roman"/>
                <w:sz w:val="24"/>
                <w:szCs w:val="24"/>
              </w:rPr>
              <w:t xml:space="preserve">, выбранный способ решения проблемы отвечает требованиям действующего </w:t>
            </w:r>
            <w:proofErr w:type="spellStart"/>
            <w:proofErr w:type="gramStart"/>
            <w:r w:rsidR="008345C6">
              <w:rPr>
                <w:rFonts w:ascii="Times New Roman" w:hAnsi="Times New Roman"/>
                <w:sz w:val="24"/>
                <w:szCs w:val="24"/>
              </w:rPr>
              <w:t>законодательства,при</w:t>
            </w:r>
            <w:proofErr w:type="spellEnd"/>
            <w:proofErr w:type="gramEnd"/>
            <w:r w:rsidR="0083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5C6" w:rsidRPr="008345C6">
              <w:rPr>
                <w:rFonts w:ascii="Times New Roman" w:hAnsi="Times New Roman"/>
                <w:sz w:val="24"/>
                <w:szCs w:val="24"/>
              </w:rPr>
              <w:t>этом права субъектов малого и среднего предпринимательства не нарушены.</w:t>
            </w:r>
          </w:p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  <w:tr w:rsidR="00F93046" w:rsidRPr="00FE4AFB" w:rsidTr="00AD71CA">
        <w:tc>
          <w:tcPr>
            <w:tcW w:w="41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F93046" w:rsidRPr="008345C6" w:rsidRDefault="008345C6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F93046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7. Основные группы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74"/>
        <w:gridCol w:w="762"/>
        <w:gridCol w:w="4053"/>
      </w:tblGrid>
      <w:tr w:rsidR="00F93046" w:rsidRPr="00FE4AFB" w:rsidTr="00AD71CA">
        <w:trPr>
          <w:trHeight w:val="55"/>
        </w:trPr>
        <w:tc>
          <w:tcPr>
            <w:tcW w:w="40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F93046" w:rsidRPr="00FE4AFB" w:rsidTr="00AD71CA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F93046" w:rsidRDefault="008345C6" w:rsidP="00AD71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предпринимательства:</w:t>
            </w:r>
          </w:p>
          <w:p w:rsidR="008345C6" w:rsidRDefault="008345C6" w:rsidP="00AD71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соответствующие условиям оказания поддержки, установленным статьей 14 ФЗ от 24.07.2007 № 209-ФЗ «О развитии малого и среднего предпринимательства в РФ» (далее – ФЗ № 209-ФЗ), сведения о которых внесены в единый реестр субъектов малого и среднего предпринимательства в соответствии со ст. 4.1 ФЗ № 209-ФЗ;</w:t>
            </w:r>
          </w:p>
          <w:p w:rsidR="008345C6" w:rsidRPr="008345C6" w:rsidRDefault="008345C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состоящие на налоговом учете в Ханты-Мансийском автономном округе – Югре и осуществляющие </w:t>
            </w:r>
            <w:r w:rsidR="00CC1B7E">
              <w:rPr>
                <w:rFonts w:ascii="Times New Roman" w:hAnsi="Times New Roman"/>
                <w:sz w:val="24"/>
                <w:szCs w:val="24"/>
              </w:rPr>
              <w:t xml:space="preserve">социально-значимые виды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на территории Ханты-Мансийского района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F93046" w:rsidRPr="00FE4AFB" w:rsidRDefault="008345C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данным Единого реестра субъектов малого и среднего предпринимательства на 10.03.2023 количество субъектов малого и среднего предпринимательства, зарегистрированных на территории Ханты-Мансийского района составляет 395 человек, из них осуществляющих социально значимые виды деятельности на территории Ханты-Мансийского района составляет 137 человек.</w:t>
            </w:r>
          </w:p>
        </w:tc>
      </w:tr>
      <w:tr w:rsidR="00F93046" w:rsidRPr="00FE4AFB" w:rsidTr="00AD71CA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F93046" w:rsidRPr="00FE4AFB" w:rsidRDefault="008345C6" w:rsidP="008345C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F93046" w:rsidRPr="00FE4AFB" w:rsidRDefault="008345C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F93046" w:rsidRPr="00FE4AFB" w:rsidTr="00AD71CA">
        <w:tc>
          <w:tcPr>
            <w:tcW w:w="40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4AF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FE4AF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F93046" w:rsidRPr="00CC1B7E" w:rsidRDefault="00CC1B7E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E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F93046" w:rsidRPr="00FE4AFB" w:rsidRDefault="00F93046" w:rsidP="00AD71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21B1">
              <w:rPr>
                <w:rFonts w:ascii="Times New Roman" w:eastAsia="Calibri" w:hAnsi="Times New Roman"/>
                <w:sz w:val="20"/>
                <w:szCs w:val="28"/>
              </w:rPr>
              <w:t xml:space="preserve"> (</w:t>
            </w:r>
            <w:r w:rsidRPr="00DE21B1">
              <w:rPr>
                <w:rFonts w:ascii="Times New Roman" w:hAnsi="Times New Roman"/>
                <w:sz w:val="20"/>
                <w:szCs w:val="28"/>
              </w:rPr>
              <w:t>место для текстового описания</w:t>
            </w:r>
            <w:r w:rsidRPr="00DE21B1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F93046" w:rsidRPr="00FE4AFB" w:rsidRDefault="00F93046" w:rsidP="00F93046">
      <w:pPr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8. Новые функции, полномочия, обязанности и права органов местного самоуправл</w:t>
      </w:r>
      <w:r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Pr="00FE4AFB">
        <w:rPr>
          <w:rFonts w:ascii="Times New Roman" w:hAnsi="Times New Roman"/>
          <w:sz w:val="28"/>
          <w:szCs w:val="28"/>
        </w:rPr>
        <w:t xml:space="preserve">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F93046" w:rsidRPr="00FE4AFB" w:rsidTr="00AD71CA">
        <w:tc>
          <w:tcPr>
            <w:tcW w:w="166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F93046" w:rsidRPr="00FE4AFB" w:rsidRDefault="00F93046" w:rsidP="00AD71CA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8.2.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3046" w:rsidRPr="00FE4AFB" w:rsidRDefault="00F93046" w:rsidP="00AD71C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F93046" w:rsidRPr="00FE4AFB" w:rsidTr="00AD71CA">
        <w:tc>
          <w:tcPr>
            <w:tcW w:w="5000" w:type="pct"/>
            <w:gridSpan w:val="3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CC1B7E" w:rsidRPr="00FE4AFB" w:rsidTr="00CC1B7E">
        <w:tc>
          <w:tcPr>
            <w:tcW w:w="5000" w:type="pct"/>
            <w:gridSpan w:val="3"/>
            <w:shd w:val="clear" w:color="auto" w:fill="auto"/>
          </w:tcPr>
          <w:p w:rsidR="00CC1B7E" w:rsidRPr="00CC1B7E" w:rsidRDefault="00CC1B7E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93046" w:rsidRPr="00FE4AFB" w:rsidTr="00AD71CA">
        <w:tc>
          <w:tcPr>
            <w:tcW w:w="166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5000" w:type="pct"/>
            <w:gridSpan w:val="3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органа:</w:t>
            </w:r>
          </w:p>
        </w:tc>
      </w:tr>
      <w:tr w:rsidR="00F93046" w:rsidRPr="00FE4AFB" w:rsidTr="00AD71CA">
        <w:tc>
          <w:tcPr>
            <w:tcW w:w="166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166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55"/>
        <w:gridCol w:w="846"/>
        <w:gridCol w:w="2681"/>
        <w:gridCol w:w="2717"/>
      </w:tblGrid>
      <w:tr w:rsidR="00F93046" w:rsidRPr="00FE4AFB" w:rsidTr="00AD71CA">
        <w:tc>
          <w:tcPr>
            <w:tcW w:w="1706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9.2. Описание видов расходов (возможных поступлений) бюджета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(тыс. рублей)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9.3. Количественная оценка расходов (возможных поступлений)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(в тыс. рублей)</w:t>
            </w:r>
          </w:p>
        </w:tc>
      </w:tr>
      <w:tr w:rsidR="00F93046" w:rsidRPr="00FE4AFB" w:rsidTr="00AD71CA"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F93046" w:rsidRPr="00FE4AFB" w:rsidTr="00AD71CA">
        <w:tc>
          <w:tcPr>
            <w:tcW w:w="423" w:type="pct"/>
            <w:vMerge w:val="restar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CC1B7E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CC1B7E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9.4.4.</w:t>
            </w:r>
          </w:p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CC1B7E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F93046" w:rsidRPr="00FE4AFB" w:rsidTr="00AD71CA">
        <w:tc>
          <w:tcPr>
            <w:tcW w:w="423" w:type="pct"/>
            <w:vMerge w:val="restar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CC1B7E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CC1B7E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5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CC1B7E" w:rsidP="00CC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6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7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8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9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</w:p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  <w:tr w:rsidR="00F93046" w:rsidRPr="00FE4AFB" w:rsidTr="00AD71CA">
        <w:tc>
          <w:tcPr>
            <w:tcW w:w="423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10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>(место для текстового описания)</w:t>
            </w:r>
          </w:p>
        </w:tc>
      </w:tr>
    </w:tbl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10. Новые преимущества, а также обязательные требования для субъектов предпринимательской и иной экономической деятельности, обязанности или ограничения для субъектов предпринимательской и инвестиционной деятельности либо изменения содержания таких преимуществ, обязательных требований, обязанностей и ограничений, а также порядок организации их исполнения, оценка расходов и доходов субъектов предпринимательской</w:t>
      </w:r>
      <w:r w:rsidRPr="00FE4AFB">
        <w:rPr>
          <w:rFonts w:ascii="Times New Roman" w:eastAsia="Calibri" w:hAnsi="Times New Roman"/>
          <w:sz w:val="28"/>
          <w:szCs w:val="28"/>
        </w:rPr>
        <w:t xml:space="preserve">, </w:t>
      </w:r>
      <w:r w:rsidRPr="00FE4AFB">
        <w:rPr>
          <w:rFonts w:ascii="Times New Roman" w:hAnsi="Times New Roman"/>
          <w:sz w:val="28"/>
          <w:szCs w:val="28"/>
        </w:rPr>
        <w:t>инвестиционной и иной экономической деятельности, связанных с необходимостью соблюдения установленных обязательных требований, обязанностей или ограничений либо изменением содержания таких обязательных требований, обязанностей и ограничений</w:t>
      </w:r>
      <w:r w:rsidRPr="00FE4AFB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FE4AF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506"/>
        <w:gridCol w:w="2200"/>
        <w:gridCol w:w="2043"/>
      </w:tblGrid>
      <w:tr w:rsidR="00F93046" w:rsidRPr="00FE4AFB" w:rsidTr="00AD71CA">
        <w:tc>
          <w:tcPr>
            <w:tcW w:w="1389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10.2. Описание новых преимуществ, обязательных требований, обязанностей, ограничений или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изменения содержания существующих обязательных требований,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10.3. Порядок организации соблюдения обязательных требований, исполнения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обязанностей и ограничений</w:t>
            </w:r>
          </w:p>
        </w:tc>
        <w:tc>
          <w:tcPr>
            <w:tcW w:w="1093" w:type="pct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lastRenderedPageBreak/>
              <w:t>10.4. </w:t>
            </w:r>
            <w:proofErr w:type="spellStart"/>
            <w:proofErr w:type="gramStart"/>
            <w:r w:rsidRPr="00FE4AFB">
              <w:rPr>
                <w:rFonts w:ascii="Times New Roman" w:hAnsi="Times New Roman"/>
                <w:sz w:val="28"/>
                <w:szCs w:val="28"/>
              </w:rPr>
              <w:t>Описа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FE4AFB">
              <w:rPr>
                <w:rFonts w:ascii="Times New Roman" w:hAnsi="Times New Roman"/>
                <w:sz w:val="28"/>
                <w:szCs w:val="28"/>
              </w:rPr>
              <w:t xml:space="preserve"> и оценка видов расходов (доходов) (тыс. рублей)</w:t>
            </w:r>
          </w:p>
        </w:tc>
      </w:tr>
      <w:tr w:rsidR="00F93046" w:rsidRPr="00FE4AFB" w:rsidTr="00AD71CA">
        <w:trPr>
          <w:trHeight w:val="192"/>
        </w:trPr>
        <w:tc>
          <w:tcPr>
            <w:tcW w:w="1389" w:type="pct"/>
            <w:shd w:val="clear" w:color="auto" w:fill="auto"/>
          </w:tcPr>
          <w:p w:rsidR="00AD71CA" w:rsidRDefault="00AD71CA" w:rsidP="00AD71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предпринимательства:</w:t>
            </w:r>
          </w:p>
          <w:p w:rsidR="00AD71CA" w:rsidRDefault="00AD71CA" w:rsidP="00AD71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соответствующие условиям оказания поддержки, установленным статьей 14 ФЗ от 24.07.2007 № 209-ФЗ «О развитии малого и среднего предпринимательства в РФ» (далее – ФЗ № 209-ФЗ), сведения о которых внесены в единый реестр субъектов малого и среднего предпринимательства в соответствии со ст. 4.1 ФЗ № 209-ФЗ;</w:t>
            </w:r>
          </w:p>
          <w:p w:rsidR="00F93046" w:rsidRPr="00AD71CA" w:rsidRDefault="00AD71CA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5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состоящие на налоговом учете в Ханты-Мансийском автономном округе – Югре и осуществляющие социально-значимые виды деятельность на территории Ханты-Мансийского района</w:t>
            </w:r>
          </w:p>
        </w:tc>
        <w:tc>
          <w:tcPr>
            <w:tcW w:w="1341" w:type="pct"/>
            <w:shd w:val="clear" w:color="auto" w:fill="auto"/>
          </w:tcPr>
          <w:p w:rsidR="00F93046" w:rsidRPr="00AD71CA" w:rsidRDefault="00AD71CA" w:rsidP="00A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1CA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 w:rsidRPr="00AD71CA">
              <w:rPr>
                <w:rFonts w:ascii="Times New Roman" w:hAnsi="Times New Roman"/>
                <w:sz w:val="24"/>
                <w:szCs w:val="24"/>
              </w:rPr>
              <w:t xml:space="preserve"> на которую должен соответствовать участник отбора</w:t>
            </w:r>
          </w:p>
        </w:tc>
        <w:tc>
          <w:tcPr>
            <w:tcW w:w="1177" w:type="pct"/>
            <w:shd w:val="clear" w:color="auto" w:fill="auto"/>
          </w:tcPr>
          <w:p w:rsidR="00AD71CA" w:rsidRPr="00AD71CA" w:rsidRDefault="00AD71CA" w:rsidP="00AD7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A">
              <w:rPr>
                <w:rFonts w:ascii="Times New Roman" w:hAnsi="Times New Roman" w:cs="Times New Roman"/>
                <w:sz w:val="24"/>
                <w:szCs w:val="24"/>
              </w:rPr>
              <w:t>Требования, которым должны соответствовать участники отбора:</w:t>
            </w:r>
          </w:p>
          <w:p w:rsidR="00AD71CA" w:rsidRPr="00AD71CA" w:rsidRDefault="00AD71CA" w:rsidP="00AD7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1-е число месяца, в котором планируется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поступивших заявок</w:t>
            </w:r>
          </w:p>
          <w:p w:rsidR="00F93046" w:rsidRPr="00AD71CA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F93046" w:rsidRPr="00AD71CA" w:rsidRDefault="00AD71CA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93046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616"/>
        <w:gridCol w:w="2102"/>
        <w:gridCol w:w="2530"/>
        <w:gridCol w:w="2320"/>
      </w:tblGrid>
      <w:tr w:rsidR="00F93046" w:rsidRPr="00FE4AFB" w:rsidTr="00AD71CA">
        <w:tc>
          <w:tcPr>
            <w:tcW w:w="1262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Оценк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11.4. Степень контроля рисков</w:t>
            </w:r>
          </w:p>
          <w:p w:rsidR="00F93046" w:rsidRPr="00FE4AFB" w:rsidRDefault="00F93046" w:rsidP="00AD71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1262" w:type="pct"/>
            <w:gridSpan w:val="2"/>
            <w:shd w:val="clear" w:color="auto" w:fill="auto"/>
          </w:tcPr>
          <w:p w:rsidR="00F93046" w:rsidRPr="00AD71CA" w:rsidRDefault="00AD71CA" w:rsidP="00A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lastRenderedPageBreak/>
              <w:t>Неблагоприятные последствия от принятия данного проекта постановления не предвидятся</w:t>
            </w:r>
          </w:p>
        </w:tc>
        <w:tc>
          <w:tcPr>
            <w:tcW w:w="1131" w:type="pct"/>
            <w:shd w:val="clear" w:color="auto" w:fill="auto"/>
          </w:tcPr>
          <w:p w:rsidR="00F93046" w:rsidRPr="00FE4AFB" w:rsidRDefault="00AD71CA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Риски не прогнозируются</w:t>
            </w:r>
          </w:p>
        </w:tc>
        <w:tc>
          <w:tcPr>
            <w:tcW w:w="1360" w:type="pct"/>
            <w:shd w:val="clear" w:color="auto" w:fill="auto"/>
          </w:tcPr>
          <w:p w:rsidR="00F93046" w:rsidRPr="00FE4AFB" w:rsidRDefault="00AD71CA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возможных рисков</w:t>
            </w:r>
          </w:p>
        </w:tc>
        <w:tc>
          <w:tcPr>
            <w:tcW w:w="1247" w:type="pct"/>
            <w:shd w:val="clear" w:color="auto" w:fill="auto"/>
          </w:tcPr>
          <w:p w:rsidR="00F93046" w:rsidRPr="00AD71CA" w:rsidRDefault="00AD71CA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</w:tr>
      <w:tr w:rsidR="00F93046" w:rsidRPr="00FE4AFB" w:rsidTr="00AD71CA">
        <w:tc>
          <w:tcPr>
            <w:tcW w:w="1262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39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F93046" w:rsidRPr="00AD71CA" w:rsidRDefault="00AD71CA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CA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1B1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:rsidR="00F93046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605"/>
        <w:gridCol w:w="2489"/>
        <w:gridCol w:w="1495"/>
        <w:gridCol w:w="998"/>
        <w:gridCol w:w="1929"/>
      </w:tblGrid>
      <w:tr w:rsidR="00F93046" w:rsidRPr="00FE4AFB" w:rsidTr="00AD71CA">
        <w:tc>
          <w:tcPr>
            <w:tcW w:w="1230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12.1.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</w:t>
            </w:r>
            <w:r w:rsidRPr="00FE4AF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12.2.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(по годам)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12.3.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F93046" w:rsidRPr="00FE4AFB" w:rsidTr="00AD71CA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F93046" w:rsidRPr="00282234" w:rsidRDefault="00AD71CA" w:rsidP="00A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Ханты-Мансийском районе</w:t>
            </w:r>
          </w:p>
        </w:tc>
        <w:tc>
          <w:tcPr>
            <w:tcW w:w="1151" w:type="pct"/>
            <w:shd w:val="clear" w:color="auto" w:fill="auto"/>
          </w:tcPr>
          <w:p w:rsidR="00F93046" w:rsidRPr="00282234" w:rsidRDefault="00AD71CA" w:rsidP="00A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 в рамках муниципальной программы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F93046" w:rsidRPr="00282234" w:rsidRDefault="00282234" w:rsidP="0028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исходя из количества субъектов малого и среднего предпринимательства, фактически получивших поддержку в рамках муниципальной программы, по итогам года</w:t>
            </w:r>
          </w:p>
        </w:tc>
        <w:tc>
          <w:tcPr>
            <w:tcW w:w="1252" w:type="pct"/>
            <w:shd w:val="clear" w:color="auto" w:fill="auto"/>
          </w:tcPr>
          <w:p w:rsidR="00F93046" w:rsidRPr="00282234" w:rsidRDefault="00282234" w:rsidP="00A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30 </w:t>
            </w:r>
          </w:p>
        </w:tc>
      </w:tr>
      <w:tr w:rsidR="00F93046" w:rsidRPr="00FE4AFB" w:rsidTr="00AD71CA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ель 2)</w:t>
            </w:r>
          </w:p>
        </w:tc>
        <w:tc>
          <w:tcPr>
            <w:tcW w:w="1151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6" w:rsidRPr="00FE4AFB" w:rsidTr="00AD71CA">
        <w:tc>
          <w:tcPr>
            <w:tcW w:w="418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F93046" w:rsidRPr="00282234" w:rsidRDefault="00282234" w:rsidP="0028223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Оценка достижения заявленной цели осуществляется путем подсчета сотрудниками отдела труда, предпринимательства и потребительского рынка комитета экономической политики администрации Ханты-Мансийского района на основе изданных постановлений администрации Ханты-Мансийского района о предоставлении финансовой поддержки, с указанием получателей поддержки.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  <w:tr w:rsidR="00F93046" w:rsidRPr="00FE4AFB" w:rsidTr="00AD71CA">
        <w:tc>
          <w:tcPr>
            <w:tcW w:w="418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F93046" w:rsidRPr="00282234" w:rsidRDefault="00282234" w:rsidP="00A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23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gramStart"/>
            <w:r w:rsidRPr="00FE4AFB"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Pr="00FE4AFB">
              <w:rPr>
                <w:rFonts w:ascii="Times New Roman" w:hAnsi="Times New Roman"/>
                <w:sz w:val="28"/>
                <w:szCs w:val="28"/>
              </w:rPr>
              <w:t>тыс. рублей)</w:t>
            </w:r>
          </w:p>
        </w:tc>
      </w:tr>
      <w:tr w:rsidR="00F93046" w:rsidRPr="00FE4AFB" w:rsidTr="00AD71CA">
        <w:tc>
          <w:tcPr>
            <w:tcW w:w="418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F93046" w:rsidRPr="007A5138" w:rsidRDefault="00282234" w:rsidP="007A513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соглашений </w:t>
            </w:r>
            <w:r w:rsidR="007A5138" w:rsidRPr="007A5138">
              <w:rPr>
                <w:rFonts w:ascii="Times New Roman" w:hAnsi="Times New Roman"/>
                <w:sz w:val="24"/>
                <w:szCs w:val="24"/>
              </w:rPr>
              <w:t>о предоставлении субсидии на возмещение затрат участникам отбора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(место для текстового описания)</w:t>
            </w:r>
          </w:p>
        </w:tc>
      </w:tr>
    </w:tbl>
    <w:p w:rsidR="00F93046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56"/>
        <w:gridCol w:w="776"/>
        <w:gridCol w:w="3537"/>
      </w:tblGrid>
      <w:tr w:rsidR="00F93046" w:rsidRPr="00FE4AFB" w:rsidTr="00AD71CA">
        <w:tc>
          <w:tcPr>
            <w:tcW w:w="406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FE4AFB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Предполагаемая дата вступления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E4AFB">
              <w:rPr>
                <w:rFonts w:ascii="Times New Roman" w:hAnsi="Times New Roman"/>
                <w:sz w:val="28"/>
                <w:szCs w:val="28"/>
              </w:rPr>
              <w:t>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F93046" w:rsidP="007A5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7A5138">
              <w:rPr>
                <w:rFonts w:ascii="Times New Roman" w:hAnsi="Times New Roman"/>
                <w:sz w:val="28"/>
                <w:szCs w:val="28"/>
              </w:rPr>
              <w:t>28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proofErr w:type="gramEnd"/>
            <w:r w:rsidR="007A5138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20</w:t>
            </w:r>
            <w:r w:rsidR="007A5138"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</w:tr>
      <w:tr w:rsidR="00F93046" w:rsidRPr="00FE4AFB" w:rsidTr="00AD71CA">
        <w:tc>
          <w:tcPr>
            <w:tcW w:w="406" w:type="pct"/>
            <w:shd w:val="clear" w:color="auto" w:fill="auto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13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F93046" w:rsidRPr="00FE4AFB" w:rsidRDefault="007A5138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F93046" w:rsidRPr="00A618E2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8"/>
                <w:szCs w:val="28"/>
              </w:rPr>
              <w:t>1</w:t>
            </w:r>
            <w:r w:rsidRPr="00FE4AFB">
              <w:rPr>
                <w:rFonts w:ascii="Times New Roman" w:hAnsi="Times New Roman"/>
                <w:sz w:val="28"/>
                <w:szCs w:val="28"/>
              </w:rPr>
              <w:t>3</w:t>
            </w:r>
            <w:r w:rsidRPr="00A618E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Срок (если есть необходимость):</w:t>
            </w:r>
          </w:p>
          <w:p w:rsidR="00F93046" w:rsidRPr="00FE4AFB" w:rsidRDefault="007A5138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8E2">
              <w:rPr>
                <w:rFonts w:ascii="Times New Roman" w:hAnsi="Times New Roman"/>
                <w:sz w:val="20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F93046" w:rsidRPr="00FE4AFB" w:rsidRDefault="00F93046" w:rsidP="00F93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:rsidR="00F93046" w:rsidRDefault="00F93046" w:rsidP="00F93046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F93046" w:rsidRPr="00FE4AFB" w:rsidTr="00AD71CA">
        <w:tc>
          <w:tcPr>
            <w:tcW w:w="2642" w:type="pct"/>
            <w:shd w:val="clear" w:color="auto" w:fill="auto"/>
            <w:vAlign w:val="bottom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 xml:space="preserve">Руководитель регулирующего органа </w:t>
            </w:r>
          </w:p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shd w:val="clear" w:color="auto" w:fill="auto"/>
            <w:vAlign w:val="bottom"/>
          </w:tcPr>
          <w:p w:rsidR="00F93046" w:rsidRPr="00FE4AFB" w:rsidRDefault="00F93046" w:rsidP="00AD71C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046" w:rsidRPr="00FE4AFB" w:rsidRDefault="00F93046" w:rsidP="00AD7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F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bookmarkEnd w:id="0"/>
    </w:tbl>
    <w:p w:rsidR="009710FE" w:rsidRDefault="009710FE"/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CA" w:rsidRDefault="00AD71CA" w:rsidP="00F93046">
      <w:pPr>
        <w:spacing w:after="0" w:line="240" w:lineRule="auto"/>
      </w:pPr>
      <w:r>
        <w:separator/>
      </w:r>
    </w:p>
  </w:endnote>
  <w:endnote w:type="continuationSeparator" w:id="0">
    <w:p w:rsidR="00AD71CA" w:rsidRDefault="00AD71CA" w:rsidP="00F9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CA" w:rsidRDefault="00AD71CA" w:rsidP="00F93046">
      <w:pPr>
        <w:spacing w:after="0" w:line="240" w:lineRule="auto"/>
      </w:pPr>
      <w:r>
        <w:separator/>
      </w:r>
    </w:p>
  </w:footnote>
  <w:footnote w:type="continuationSeparator" w:id="0">
    <w:p w:rsidR="00AD71CA" w:rsidRDefault="00AD71CA" w:rsidP="00F93046">
      <w:pPr>
        <w:spacing w:after="0" w:line="240" w:lineRule="auto"/>
      </w:pPr>
      <w:r>
        <w:continuationSeparator/>
      </w:r>
    </w:p>
  </w:footnote>
  <w:footnote w:id="1">
    <w:p w:rsidR="00AD71CA" w:rsidRPr="00FD065C" w:rsidRDefault="00AD71CA" w:rsidP="00F93046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proofErr w:type="gramStart"/>
      <w:r>
        <w:rPr>
          <w:rFonts w:ascii="Times New Roman" w:hAnsi="Times New Roman"/>
          <w:lang w:val="ru-RU"/>
        </w:rPr>
        <w:t xml:space="preserve">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proofErr w:type="gramEnd"/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AD71CA" w:rsidRPr="00140CFB" w:rsidRDefault="00AD71CA" w:rsidP="00F93046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AD71CA" w:rsidRPr="00B10580" w:rsidRDefault="00AD71CA" w:rsidP="00F93046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46"/>
    <w:rsid w:val="000262F2"/>
    <w:rsid w:val="000320C4"/>
    <w:rsid w:val="001A56C4"/>
    <w:rsid w:val="00282234"/>
    <w:rsid w:val="003935FD"/>
    <w:rsid w:val="0057080D"/>
    <w:rsid w:val="00594430"/>
    <w:rsid w:val="005E6CF7"/>
    <w:rsid w:val="006C136E"/>
    <w:rsid w:val="00797C41"/>
    <w:rsid w:val="007A5138"/>
    <w:rsid w:val="008345C6"/>
    <w:rsid w:val="009710FE"/>
    <w:rsid w:val="00A169B4"/>
    <w:rsid w:val="00AD71CA"/>
    <w:rsid w:val="00CC1B7E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30A4-1305-49DB-A59B-9E73774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304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93046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F93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499354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6</cp:revision>
  <dcterms:created xsi:type="dcterms:W3CDTF">2023-03-13T07:20:00Z</dcterms:created>
  <dcterms:modified xsi:type="dcterms:W3CDTF">2023-03-16T07:46:00Z</dcterms:modified>
</cp:coreProperties>
</file>