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70A" w:rsidRDefault="001477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770A" w:rsidRDefault="0014770A">
      <w:pPr>
        <w:pStyle w:val="ConsPlusTitle"/>
        <w:jc w:val="center"/>
        <w:outlineLvl w:val="0"/>
      </w:pPr>
      <w:r>
        <w:t>ДУМА ХАНТЫ-МАНСИЙСКОГО РАЙОНА</w:t>
      </w:r>
    </w:p>
    <w:p w:rsidR="0014770A" w:rsidRDefault="0014770A">
      <w:pPr>
        <w:pStyle w:val="ConsPlusTitle"/>
        <w:jc w:val="center"/>
      </w:pPr>
    </w:p>
    <w:p w:rsidR="0014770A" w:rsidRDefault="0014770A">
      <w:pPr>
        <w:pStyle w:val="ConsPlusTitle"/>
        <w:jc w:val="center"/>
      </w:pPr>
      <w:r>
        <w:t>РЕШЕНИЕ</w:t>
      </w:r>
    </w:p>
    <w:p w:rsidR="0014770A" w:rsidRDefault="0014770A">
      <w:pPr>
        <w:pStyle w:val="ConsPlusTitle"/>
        <w:jc w:val="center"/>
      </w:pPr>
      <w:r>
        <w:t>от 9 июня 2016 г. N 587</w:t>
      </w:r>
    </w:p>
    <w:p w:rsidR="0014770A" w:rsidRDefault="0014770A">
      <w:pPr>
        <w:pStyle w:val="ConsPlusTitle"/>
        <w:jc w:val="center"/>
      </w:pPr>
    </w:p>
    <w:p w:rsidR="0014770A" w:rsidRDefault="0014770A">
      <w:pPr>
        <w:pStyle w:val="ConsPlusTitle"/>
        <w:jc w:val="center"/>
      </w:pPr>
      <w:r>
        <w:t>ОБ УТВЕРЖДЕНИИ ПРАВИЛ ОПРЕДЕЛЕНИЯ РАЗМЕРА АРЕНДНОЙ ПЛАТЫ,</w:t>
      </w:r>
    </w:p>
    <w:p w:rsidR="0014770A" w:rsidRDefault="0014770A">
      <w:pPr>
        <w:pStyle w:val="ConsPlusTitle"/>
        <w:jc w:val="center"/>
      </w:pPr>
      <w:r>
        <w:t>ПОРЯДКА, УСЛОВИЙ И СРОКОВ ВНЕСЕНИЯ АРЕНДНОЙ ПЛАТЫ</w:t>
      </w:r>
    </w:p>
    <w:p w:rsidR="0014770A" w:rsidRDefault="0014770A">
      <w:pPr>
        <w:pStyle w:val="ConsPlusTitle"/>
        <w:jc w:val="center"/>
      </w:pPr>
      <w:r>
        <w:t>ЗА ЗЕМЕЛЬНЫЕ УЧАСТКИ, НАХОДЯЩИЕСЯ В СОБСТВЕННОСТИ</w:t>
      </w:r>
    </w:p>
    <w:p w:rsidR="0014770A" w:rsidRDefault="0014770A">
      <w:pPr>
        <w:pStyle w:val="ConsPlusTitle"/>
        <w:jc w:val="center"/>
      </w:pPr>
      <w:r>
        <w:t>ХАНТЫ-МАНСИЙСКОГО РАЙОНА И ПРЕДОСТАВЛЯЕМЫЕ В АРЕНДУ</w:t>
      </w:r>
    </w:p>
    <w:p w:rsidR="0014770A" w:rsidRDefault="0014770A">
      <w:pPr>
        <w:pStyle w:val="ConsPlusTitle"/>
        <w:jc w:val="center"/>
      </w:pPr>
      <w:r>
        <w:t>БЕЗ ТОРГОВ</w:t>
      </w:r>
    </w:p>
    <w:p w:rsidR="0014770A" w:rsidRDefault="001477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7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Ханты-Мансийского района от 20.02.2019 </w:t>
            </w:r>
            <w:hyperlink r:id="rId5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ст. 39.7</w:t>
        </w:r>
      </w:hyperlink>
      <w:r>
        <w:t xml:space="preserve"> Земельного кодекса Российской Федерации, </w:t>
      </w:r>
      <w:hyperlink r:id="rId8">
        <w:r>
          <w:rPr>
            <w:color w:val="0000FF"/>
          </w:rPr>
          <w:t>ст. 41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10">
        <w:r>
          <w:rPr>
            <w:color w:val="0000FF"/>
          </w:rPr>
          <w:t>Уставом</w:t>
        </w:r>
      </w:hyperlink>
      <w:r>
        <w:t xml:space="preserve"> Ханты-Мансийского района, Дума Ханты-Мансийского района решила: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правила</w:t>
        </w:r>
      </w:hyperlink>
      <w:r>
        <w:t xml:space="preserve">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торгов, согласно приложению к настоящему решению.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2. Отменить решения Думы Ханты-Мансийского района: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1) от 20.03.2014 </w:t>
      </w:r>
      <w:hyperlink r:id="rId11">
        <w:r>
          <w:rPr>
            <w:color w:val="0000FF"/>
          </w:rPr>
          <w:t>N 331</w:t>
        </w:r>
      </w:hyperlink>
      <w:r>
        <w:t xml:space="preserve">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2) от 04.06.2014 </w:t>
      </w:r>
      <w:hyperlink r:id="rId12">
        <w:r>
          <w:rPr>
            <w:color w:val="0000FF"/>
          </w:rPr>
          <w:t>N 365</w:t>
        </w:r>
      </w:hyperlink>
      <w:r>
        <w:t xml:space="preserve"> "О внесении изменения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3) от 18.12.2014 </w:t>
      </w:r>
      <w:hyperlink r:id="rId13">
        <w:r>
          <w:rPr>
            <w:color w:val="0000FF"/>
          </w:rPr>
          <w:t>N 412</w:t>
        </w:r>
      </w:hyperlink>
      <w:r>
        <w:t xml:space="preserve"> "О внесении изменения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4) от 13.03.2015 </w:t>
      </w:r>
      <w:hyperlink r:id="rId14">
        <w:r>
          <w:rPr>
            <w:color w:val="0000FF"/>
          </w:rPr>
          <w:t>N 439</w:t>
        </w:r>
      </w:hyperlink>
      <w:r>
        <w:t xml:space="preserve"> "О внесении изменений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5) от 18.08.2015 </w:t>
      </w:r>
      <w:hyperlink r:id="rId15">
        <w:r>
          <w:rPr>
            <w:color w:val="0000FF"/>
          </w:rPr>
          <w:t>N 494</w:t>
        </w:r>
      </w:hyperlink>
      <w:r>
        <w:t xml:space="preserve"> "О внесении изменений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</w:pPr>
      <w:r>
        <w:t>Глава</w:t>
      </w:r>
    </w:p>
    <w:p w:rsidR="0014770A" w:rsidRDefault="0014770A">
      <w:pPr>
        <w:pStyle w:val="ConsPlusNormal"/>
        <w:jc w:val="right"/>
      </w:pPr>
      <w:r>
        <w:t>Ханты-Мансийского района</w:t>
      </w:r>
    </w:p>
    <w:p w:rsidR="0014770A" w:rsidRDefault="0014770A">
      <w:pPr>
        <w:pStyle w:val="ConsPlusNormal"/>
        <w:jc w:val="right"/>
      </w:pPr>
      <w:r>
        <w:t>П.Н.ЗАХАРОВ</w:t>
      </w:r>
    </w:p>
    <w:p w:rsidR="0014770A" w:rsidRDefault="0014770A">
      <w:pPr>
        <w:pStyle w:val="ConsPlusNormal"/>
      </w:pPr>
      <w:r>
        <w:t>09.06.2016</w:t>
      </w:r>
    </w:p>
    <w:p w:rsidR="0014770A" w:rsidRDefault="0014770A">
      <w:pPr>
        <w:pStyle w:val="ConsPlusNormal"/>
        <w:jc w:val="right"/>
        <w:outlineLvl w:val="0"/>
      </w:pPr>
      <w:r>
        <w:lastRenderedPageBreak/>
        <w:t>Приложение</w:t>
      </w:r>
    </w:p>
    <w:p w:rsidR="0014770A" w:rsidRDefault="0014770A">
      <w:pPr>
        <w:pStyle w:val="ConsPlusNormal"/>
        <w:jc w:val="right"/>
      </w:pPr>
      <w:r>
        <w:t>к решению Думы</w:t>
      </w:r>
    </w:p>
    <w:p w:rsidR="0014770A" w:rsidRDefault="0014770A">
      <w:pPr>
        <w:pStyle w:val="ConsPlusNormal"/>
        <w:jc w:val="right"/>
      </w:pPr>
      <w:r>
        <w:t>Ханты-Мансийского района</w:t>
      </w:r>
    </w:p>
    <w:p w:rsidR="0014770A" w:rsidRDefault="0014770A">
      <w:pPr>
        <w:pStyle w:val="ConsPlusNormal"/>
        <w:jc w:val="right"/>
      </w:pPr>
      <w:r>
        <w:t>от 09.06.2016 N 587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0" w:name="P39"/>
      <w:bookmarkEnd w:id="0"/>
      <w:r>
        <w:t>ПРАВИЛА</w:t>
      </w:r>
    </w:p>
    <w:p w:rsidR="0014770A" w:rsidRDefault="0014770A">
      <w:pPr>
        <w:pStyle w:val="ConsPlusTitle"/>
        <w:jc w:val="center"/>
      </w:pPr>
      <w:r>
        <w:t>ОПРЕДЕЛЕНИЯ РАЗМЕРА АРЕНДНОЙ ПЛАТЫ, ПОРЯДКА, УСЛОВИЙ</w:t>
      </w:r>
    </w:p>
    <w:p w:rsidR="0014770A" w:rsidRDefault="0014770A">
      <w:pPr>
        <w:pStyle w:val="ConsPlusTitle"/>
        <w:jc w:val="center"/>
      </w:pPr>
      <w:r>
        <w:t>И СРОКОВ ВНЕСЕНИЯ АРЕНДНОЙ ПЛАТЫ ЗА ЗЕМЕЛЬНЫЕ УЧАСТКИ,</w:t>
      </w:r>
    </w:p>
    <w:p w:rsidR="0014770A" w:rsidRDefault="0014770A">
      <w:pPr>
        <w:pStyle w:val="ConsPlusTitle"/>
        <w:jc w:val="center"/>
      </w:pPr>
      <w:r>
        <w:t>НАХОДЯЩИЕСЯ В СОБСТВЕННОСТИ ХАНТЫ-МАНСИЙСКОГО РАЙОНА</w:t>
      </w:r>
    </w:p>
    <w:p w:rsidR="0014770A" w:rsidRDefault="0014770A">
      <w:pPr>
        <w:pStyle w:val="ConsPlusTitle"/>
        <w:jc w:val="center"/>
      </w:pPr>
      <w:r>
        <w:t>И ПРЕДОСТАВЛЯЕМЫЕ В АРЕНДУ БЕЗ ТОРГОВ</w:t>
      </w:r>
    </w:p>
    <w:p w:rsidR="0014770A" w:rsidRDefault="001477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7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Ханты-Мансийского района от 20.02.2019 </w:t>
            </w:r>
            <w:hyperlink r:id="rId16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7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1. Настоящие правила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 (далее по тексту - Правила), определяют способы расчета размера арендной платы, а также порядок, условия и сроки внесения арендной платы за земельные участки, находящиеся в собственности Ханты-Мансийского района, предоставляемые в аренду без торгов (далее - земельный участок).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2. Настоящие Правила не применяются при заключении договора аренды земельного участка, если правила определения размера арендной платы установлены Земельным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или другим федеральным законом.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ind w:firstLine="540"/>
        <w:jc w:val="both"/>
        <w:outlineLvl w:val="1"/>
      </w:pPr>
      <w:r>
        <w:t>Статья 2. Способы расчета размера арендной платы за земельные участки (кроме земель населенных пунктов)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bookmarkStart w:id="1" w:name="P55"/>
      <w:bookmarkEnd w:id="1"/>
      <w:r>
        <w:t>1. При заключении договора аренды размер арендной платы за земельный участок (кроме земель населенных пунктов) определяется по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Ап = Аб x S x Кпр,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Ап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207">
        <w:r>
          <w:rPr>
            <w:color w:val="0000FF"/>
          </w:rPr>
          <w:t>таблицами 1</w:t>
        </w:r>
      </w:hyperlink>
      <w:r>
        <w:t xml:space="preserve"> - </w:t>
      </w:r>
      <w:hyperlink w:anchor="P328">
        <w:r>
          <w:rPr>
            <w:color w:val="0000FF"/>
          </w:rPr>
          <w:t>4</w:t>
        </w:r>
      </w:hyperlink>
      <w:r>
        <w:t>, руб./га;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S - площадь земельного участка, га;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Кпр - коэффициент приоритета, устанавливается равным 0,8.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Коэффициент приоритета (Кпр) применяется для лиц, использующих земельные участки, находящиеся в муниципальной собственности, которые предоставлены юридическим лицам в аренду без проведения торгов для реализации инвестиционных проектов по созданию индустриальных (промышленных) парков.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 При заключении договора аренды с отдельными лицами, предусмотренными </w:t>
      </w:r>
      <w:hyperlink r:id="rId19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20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размер арендной платы за земельный участок определяется по формуле:</w:t>
      </w:r>
    </w:p>
    <w:p w:rsidR="0014770A" w:rsidRDefault="0014770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Ханты-Мансийского района от 01.07.2022 N 162)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= КС x Нс,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lastRenderedPageBreak/>
        <w:t>А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Нс - ставка земельного налога на земельный участок.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соответствии с </w:t>
      </w:r>
      <w:hyperlink w:anchor="P55">
        <w:r>
          <w:rPr>
            <w:color w:val="0000FF"/>
          </w:rPr>
          <w:t>частями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 настоящей статьи, но не выше размера земельного налога. В случае превышения указанного предельного размера арендная плата устанавливается в размере, равном размеру земельного налога. 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на основании заявления арендатора. 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заявление.</w:t>
      </w:r>
    </w:p>
    <w:p w:rsidR="0014770A" w:rsidRDefault="0014770A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Думы Ханты-Мансийского района от 01.07.2022 N 162)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3. При заключении договора аренды размер арендной платы за земельный участок, передаваемый для проведения работ, связанных с пользованием недрами, определяется по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= КС x Аб,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Аб - 1,79% (базовый размер арендной платы от кадастровой стоимости земельного участка).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4. Размер арендной платы, рассчитанный в соответствии с </w:t>
      </w:r>
      <w:hyperlink w:anchor="P74">
        <w:r>
          <w:rPr>
            <w:color w:val="0000FF"/>
          </w:rPr>
          <w:t>частью 3</w:t>
        </w:r>
      </w:hyperlink>
      <w:r>
        <w:t xml:space="preserve"> настоящей статьи, ограничивается размером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5. При заключении договора аренды за земельные участки, переданные в аренду для размещения объектов, предусмотренных </w:t>
      </w:r>
      <w:hyperlink r:id="rId23">
        <w:r>
          <w:rPr>
            <w:color w:val="0000FF"/>
          </w:rPr>
          <w:t>пунктом 2 статьи 49</w:t>
        </w:r>
      </w:hyperlink>
      <w:r>
        <w:t xml:space="preserve"> Земельного кодекса Российской Федерации, размер арендной платы устанавливается в соответствии с </w:t>
      </w:r>
      <w:hyperlink w:anchor="P55">
        <w:r>
          <w:rPr>
            <w:color w:val="0000FF"/>
          </w:rPr>
          <w:t>частями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 настоящей статьи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Арендная плата за земельные участки, переданные в аренду в случаях, указанных в </w:t>
      </w:r>
      <w:hyperlink r:id="rId24">
        <w:r>
          <w:rPr>
            <w:color w:val="0000FF"/>
          </w:rPr>
          <w:t>части 3 статьи 39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определяется в размере одного процента кадастровой стоимости этих земельных участков.</w:t>
      </w:r>
    </w:p>
    <w:p w:rsidR="0014770A" w:rsidRDefault="0014770A">
      <w:pPr>
        <w:pStyle w:val="ConsPlusNormal"/>
        <w:jc w:val="both"/>
      </w:pPr>
      <w:r>
        <w:t xml:space="preserve">(часть 5 введена </w:t>
      </w:r>
      <w:hyperlink r:id="rId25">
        <w:r>
          <w:rPr>
            <w:color w:val="0000FF"/>
          </w:rPr>
          <w:t>решением</w:t>
        </w:r>
      </w:hyperlink>
      <w:r>
        <w:t xml:space="preserve"> Думы Ханты-Мансийского района от 01.07.2022 N 162)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ind w:firstLine="540"/>
        <w:jc w:val="both"/>
        <w:outlineLvl w:val="1"/>
      </w:pPr>
      <w:r>
        <w:t>Статья 3. Способы расчета размера арендной платы за земельные участки земель населенных пунктов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1. При заключении договора аренды размер арендной платы за земельный участок, если федеральными законами или настоящими Правилами не предусмотрено иное, определяется по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= (КС x С / 100) x Кп x Кст x Ксп x Кпр x Ксз,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lastRenderedPageBreak/>
        <w:t>КС - кадастровая стоимость земельного участка,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С - ставка арендной платы, определяемая в соответствии с </w:t>
      </w:r>
      <w:hyperlink w:anchor="P604">
        <w:r>
          <w:rPr>
            <w:color w:val="0000FF"/>
          </w:rPr>
          <w:t>таблицами 7</w:t>
        </w:r>
      </w:hyperlink>
      <w:r>
        <w:t xml:space="preserve"> - </w:t>
      </w:r>
      <w:hyperlink w:anchor="P708">
        <w:r>
          <w:rPr>
            <w:color w:val="0000FF"/>
          </w:rPr>
          <w:t>8</w:t>
        </w:r>
      </w:hyperlink>
      <w:r>
        <w:t xml:space="preserve"> приложения к настоящим Правилам;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Кп - коэффициент переходного периода;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Кст - коэффициент строительства;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Ксп - коэффициент субъектов малого и среднего предпринимательства, устанавливается равным 0,5;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Кпр - коэффициент приоритета, устанавливается равным 0,8;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Ксз - коэффициент сезонности работ, устанавливается равным 0,5.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2. Коэффициент переходного периода (Кп) устанавливается для каждого вида или подвида разрешенного использования земельного участка, указанного в </w:t>
      </w:r>
      <w:hyperlink w:anchor="P396">
        <w:r>
          <w:rPr>
            <w:color w:val="0000FF"/>
          </w:rPr>
          <w:t>таблицах 5</w:t>
        </w:r>
      </w:hyperlink>
      <w:r>
        <w:t xml:space="preserve"> - </w:t>
      </w:r>
      <w:hyperlink w:anchor="P494">
        <w:r>
          <w:rPr>
            <w:color w:val="0000FF"/>
          </w:rPr>
          <w:t>6</w:t>
        </w:r>
      </w:hyperlink>
      <w:r>
        <w:t xml:space="preserve"> приложения к настоящим Правилам, и не может превышать 1,5, 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Установить коэффициент переходного периода в отношении земельных участков, находящихся в собственности Ханты-Мансийского района, согласно </w:t>
      </w:r>
      <w:hyperlink w:anchor="P396">
        <w:r>
          <w:rPr>
            <w:color w:val="0000FF"/>
          </w:rPr>
          <w:t>таблицам 5</w:t>
        </w:r>
      </w:hyperlink>
      <w:r>
        <w:t xml:space="preserve"> - </w:t>
      </w:r>
      <w:hyperlink w:anchor="P494">
        <w:r>
          <w:rPr>
            <w:color w:val="0000FF"/>
          </w:rPr>
          <w:t>6</w:t>
        </w:r>
      </w:hyperlink>
      <w:r>
        <w:t xml:space="preserve"> приложения к настоящим Правилам.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3. Коэффициент строительства (Кст) применяется в случае передачи в аренду земельных участков для строительства и устанавливается равным: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- 0,1 - в течение первого года;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- 0,5 - в течение второго года;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6">
        <w:r>
          <w:rPr>
            <w:color w:val="0000FF"/>
          </w:rPr>
          <w:t>Решение</w:t>
        </w:r>
      </w:hyperlink>
      <w:r>
        <w:t xml:space="preserve"> Думы Ханты-Мансийского района от 01.07.2022 N 162.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правоудостоверяющего документа.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5. В случае несоблюдения арендатором условий, указанных в </w:t>
      </w:r>
      <w:hyperlink w:anchor="P107">
        <w:r>
          <w:rPr>
            <w:color w:val="0000FF"/>
          </w:rPr>
          <w:t>части 4</w:t>
        </w:r>
      </w:hyperlink>
      <w:r>
        <w:t xml:space="preserve"> 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6.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lastRenderedPageBreak/>
        <w:t>В отношении договоров аренды, заключенных до 1 июля 2013 года, первым годом являются двенадцать месяцев с даты передачи земельного участка в аренду.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7. При заключении нового договора аренды земельного участка без проведения торгов в соответствии с </w:t>
      </w:r>
      <w:hyperlink r:id="rId27">
        <w:r>
          <w:rPr>
            <w:color w:val="0000FF"/>
          </w:rPr>
          <w:t>пунктами 3</w:t>
        </w:r>
      </w:hyperlink>
      <w:r>
        <w:t xml:space="preserve"> и </w:t>
      </w:r>
      <w:hyperlink r:id="rId28">
        <w:r>
          <w:rPr>
            <w:color w:val="0000FF"/>
          </w:rPr>
          <w:t>4 статьи 39.6</w:t>
        </w:r>
      </w:hyperlink>
      <w: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8. Коэффициент субъектов малого и среднего предпринимательства (Ксп)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9.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(Ксп),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с даты подачи указанного заявления и документов.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10. Коэффициент приоритета (Кпр) применяется при передаче в аренду земельного участка: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3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11. Коэффициент сезонности работ (Ксз)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гидромеханизированным способом, организации площадок под складирование снега.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12. При заключении договора аренды с отдельными лицами, предусмотренными </w:t>
      </w:r>
      <w:hyperlink r:id="rId32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33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за использование земельного участка с видом разрешенного использования:</w:t>
      </w:r>
    </w:p>
    <w:p w:rsidR="0014770A" w:rsidRDefault="0014770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Ханты-Мансийского района от 01.07.2022 N 162)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1) особо охраняемые территории и объекты, городские леса, скверы, парки, городские сады;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2) предназначенного для сельскохозяйственного использования;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</w:t>
      </w:r>
      <w:r>
        <w:lastRenderedPageBreak/>
        <w:t>набережные, - размер арендной платы определяется по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= КС x Нс,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= КС x 0,01%,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7" w:name="P138"/>
      <w:bookmarkEnd w:id="7"/>
      <w:r>
        <w:t xml:space="preserve">14.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35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двух процентов кадастровой стоимости арендуемого земельного участка;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В случае превышения указанного предельного размера арендная плата устанавливается в размере, равном двукратному размеру земельного налога.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15.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16. При заключении договора аренды за земельные участки, переданные в аренду для размещения объектов, предусмотренных </w:t>
      </w:r>
      <w:hyperlink r:id="rId36">
        <w:r>
          <w:rPr>
            <w:color w:val="0000FF"/>
          </w:rPr>
          <w:t>п. 2 ст. 49</w:t>
        </w:r>
      </w:hyperlink>
      <w:r>
        <w:t xml:space="preserve"> Земельного кодекса Российской Федерации, размер арендной платы устанавливается в соответствии с </w:t>
      </w:r>
      <w:hyperlink w:anchor="P132">
        <w:r>
          <w:rPr>
            <w:color w:val="0000FF"/>
          </w:rPr>
          <w:t>частями 13</w:t>
        </w:r>
      </w:hyperlink>
      <w:r>
        <w:t xml:space="preserve">, </w:t>
      </w:r>
      <w:hyperlink w:anchor="P138">
        <w:r>
          <w:rPr>
            <w:color w:val="0000FF"/>
          </w:rPr>
          <w:t>14</w:t>
        </w:r>
      </w:hyperlink>
      <w:r>
        <w:t xml:space="preserve"> 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находящихся в федеральной собственности.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Арендная плата за земельные участки, переданные в аренду в случаях, указанных в </w:t>
      </w:r>
      <w:hyperlink r:id="rId37">
        <w:r>
          <w:rPr>
            <w:color w:val="0000FF"/>
          </w:rPr>
          <w:t>части 3 статьи 39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определяется в размере одного процента кадастровой стоимости </w:t>
      </w:r>
      <w:r>
        <w:lastRenderedPageBreak/>
        <w:t>этих земельных участков.</w:t>
      </w:r>
    </w:p>
    <w:p w:rsidR="0014770A" w:rsidRDefault="0014770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решением</w:t>
        </w:r>
      </w:hyperlink>
      <w:r>
        <w:t xml:space="preserve"> Думы Ханты-Мансийского района от 01.07.2022 N 162)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17. Ежегодный размер арендной платы за земельный участок, находящийся в собственности Ханты-Мансийского района,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соответствующим органом местного самоуправления Ханты-Мансийского района, в случаях, указанных в </w:t>
      </w:r>
      <w:hyperlink r:id="rId39">
        <w:r>
          <w:rPr>
            <w:color w:val="0000FF"/>
          </w:rPr>
          <w:t>пункте 15 статьи 3</w:t>
        </w:r>
      </w:hyperlink>
      <w:r>
        <w:t xml:space="preserve"> Федерального закона от 25 октября 2001 года N 137-ФЗ, а также лицу, к которому перешли права и обязанности по договору аренды такого земельного участка, устанавливается: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истечении двух лет с даты заключения договора аренды земельного участка;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с даты заключения договора аренды земельного участка.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18.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А1 = (А / 365) x Д, где: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r>
        <w:t>А1 - размер арендной платы за текущий квартал аренды,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А - годовой размер арендной платы, руб.;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Д - количество дней: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ind w:firstLine="540"/>
        <w:jc w:val="both"/>
        <w:outlineLvl w:val="1"/>
      </w:pPr>
      <w:r>
        <w:t>Статья 4. Порядок, условия и сроки внесения арендной платы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ind w:firstLine="540"/>
        <w:jc w:val="both"/>
      </w:pPr>
      <w:bookmarkStart w:id="8" w:name="P163"/>
      <w:bookmarkEnd w:id="8"/>
      <w: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настоящих Правил;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категории земель;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кадастровой стоимости земельного участка;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- разрешенного использования земельного участка.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2. Изменение годового размера арендной платы, определенного в соответствии с </w:t>
      </w:r>
      <w:hyperlink w:anchor="P138">
        <w:r>
          <w:rPr>
            <w:color w:val="0000FF"/>
          </w:rPr>
          <w:t>частью 14 статьи 3</w:t>
        </w:r>
      </w:hyperlink>
      <w:r>
        <w:t xml:space="preserve"> настоящих Правил, может быть предусмотрено в договоре аренды земельного участка только в связи с изменением его кадастровой стоимости.</w:t>
      </w:r>
    </w:p>
    <w:p w:rsidR="0014770A" w:rsidRDefault="0014770A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3. Арендодатель в одностороннем порядке ежегодно изменяет размер арендной платы на размер уровня инфляции, установленного в федеральном законе о федеральном бюджете на </w:t>
      </w:r>
      <w:r>
        <w:lastRenderedPageBreak/>
        <w:t>очередной финансовый год и плановый период, при этом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аренду, при этом уровень инфляции не применяется: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1) в текущем финансовом году к размеру арендной платы, пересмотренному в связи с изменением кадастровой стоимости земельного участка;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2) к размеру арендной платы за земельный участок по договору аренды, заключенному в случаях, указанных в </w:t>
      </w:r>
      <w:hyperlink w:anchor="P64">
        <w:r>
          <w:rPr>
            <w:color w:val="0000FF"/>
          </w:rPr>
          <w:t>части 2 статьи 2</w:t>
        </w:r>
      </w:hyperlink>
      <w:r>
        <w:t xml:space="preserve"> и </w:t>
      </w:r>
      <w:hyperlink w:anchor="P121">
        <w:r>
          <w:rPr>
            <w:color w:val="0000FF"/>
          </w:rPr>
          <w:t>частях 12</w:t>
        </w:r>
      </w:hyperlink>
      <w:r>
        <w:t xml:space="preserve"> - </w:t>
      </w:r>
      <w:hyperlink w:anchor="P138">
        <w:r>
          <w:rPr>
            <w:color w:val="0000FF"/>
          </w:rPr>
          <w:t>14 статьи 3</w:t>
        </w:r>
      </w:hyperlink>
      <w:r>
        <w:t xml:space="preserve"> настоящих Правил.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4. При заключении нового договора аренды земельного участка для целей применения уровня инфляции, предусмотренного </w:t>
      </w:r>
      <w:hyperlink w:anchor="P169">
        <w:r>
          <w:rPr>
            <w:color w:val="0000FF"/>
          </w:rPr>
          <w:t>частью 3</w:t>
        </w:r>
      </w:hyperlink>
      <w:r>
        <w:t xml:space="preserve"> настоящей статьи, период пользования земельным участком определяется с учетом всех ранее установленных периодов его пользования.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 xml:space="preserve">5. Арендная плата в случаях, предусмотренных </w:t>
      </w:r>
      <w:hyperlink w:anchor="P163">
        <w:r>
          <w:rPr>
            <w:color w:val="0000FF"/>
          </w:rPr>
          <w:t>частью 1</w:t>
        </w:r>
      </w:hyperlink>
      <w:r>
        <w:t xml:space="preserve"> настоящей статьи, в новом размере устанавливается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законами, иными нормативными правовыми актами, настоящими Правилами.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6. Перерасчет размера арендной платы по договорам аренды за земельные участки в связи с изменением их кадастровой стоимости осуществляет арендодатель с даты ее внесения в государственный кадастр недвижимости.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7.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8. 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9. В платежном документе в поле "Назначение платежа" арендатор указывает наименование платежа, дату и номер договора аренды.</w:t>
      </w:r>
    </w:p>
    <w:p w:rsidR="0014770A" w:rsidRDefault="0014770A">
      <w:pPr>
        <w:pStyle w:val="ConsPlusNormal"/>
        <w:spacing w:before="220"/>
        <w:ind w:firstLine="540"/>
        <w:jc w:val="both"/>
      </w:pPr>
      <w:r>
        <w:t>10. Арендатор вправе вносить платежи за аренду земельного участка досрочно.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1"/>
      </w:pPr>
      <w:r>
        <w:t>Приложение</w:t>
      </w:r>
    </w:p>
    <w:p w:rsidR="0014770A" w:rsidRDefault="0014770A">
      <w:pPr>
        <w:pStyle w:val="ConsPlusNormal"/>
        <w:jc w:val="right"/>
      </w:pPr>
      <w:r>
        <w:t>к правилам определения</w:t>
      </w:r>
    </w:p>
    <w:p w:rsidR="0014770A" w:rsidRDefault="0014770A">
      <w:pPr>
        <w:pStyle w:val="ConsPlusNormal"/>
        <w:jc w:val="right"/>
      </w:pPr>
      <w:r>
        <w:t>размера арендной платы,</w:t>
      </w:r>
    </w:p>
    <w:p w:rsidR="0014770A" w:rsidRDefault="0014770A">
      <w:pPr>
        <w:pStyle w:val="ConsPlusNormal"/>
        <w:jc w:val="right"/>
      </w:pPr>
      <w:r>
        <w:t>порядка, условий и сроков</w:t>
      </w:r>
    </w:p>
    <w:p w:rsidR="0014770A" w:rsidRDefault="0014770A">
      <w:pPr>
        <w:pStyle w:val="ConsPlusNormal"/>
        <w:jc w:val="right"/>
      </w:pPr>
      <w:r>
        <w:t>внесения арендной платы</w:t>
      </w:r>
    </w:p>
    <w:p w:rsidR="0014770A" w:rsidRDefault="0014770A">
      <w:pPr>
        <w:pStyle w:val="ConsPlusNormal"/>
        <w:jc w:val="right"/>
      </w:pPr>
      <w:r>
        <w:lastRenderedPageBreak/>
        <w:t>за земельные участки,</w:t>
      </w:r>
    </w:p>
    <w:p w:rsidR="0014770A" w:rsidRDefault="0014770A">
      <w:pPr>
        <w:pStyle w:val="ConsPlusNormal"/>
        <w:jc w:val="right"/>
      </w:pPr>
      <w:r>
        <w:t>находящиеся в собственности</w:t>
      </w:r>
    </w:p>
    <w:p w:rsidR="0014770A" w:rsidRDefault="0014770A">
      <w:pPr>
        <w:pStyle w:val="ConsPlusNormal"/>
        <w:jc w:val="right"/>
      </w:pPr>
      <w:r>
        <w:t>Ханты-Мансийского района</w:t>
      </w:r>
    </w:p>
    <w:p w:rsidR="0014770A" w:rsidRDefault="0014770A">
      <w:pPr>
        <w:pStyle w:val="ConsPlusNormal"/>
        <w:jc w:val="right"/>
      </w:pPr>
      <w:r>
        <w:t>и предоставляемые в аренду без торгов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r>
        <w:t>БАЗОВЫЕ РАЗМЕРЫ</w:t>
      </w:r>
    </w:p>
    <w:p w:rsidR="0014770A" w:rsidRDefault="0014770A">
      <w:pPr>
        <w:pStyle w:val="ConsPlusTitle"/>
        <w:jc w:val="center"/>
      </w:pPr>
      <w:r>
        <w:t>АРЕНДНОЙ ПЛАТЫ ЗА ПОЛЬЗОВАНИЕ ЗЕМЕЛЬНЫМИ УЧАСТКАМИ (КРОМЕ</w:t>
      </w:r>
    </w:p>
    <w:p w:rsidR="0014770A" w:rsidRDefault="0014770A">
      <w:pPr>
        <w:pStyle w:val="ConsPlusTitle"/>
        <w:jc w:val="center"/>
      </w:pPr>
      <w:r>
        <w:t>ЗЕМЕЛЬ НАСЕЛЕННЫХ ПУНКТОВ) В РАЗРЕЗЕ КАТЕГОРИЙ ЗЕМЕЛЬ</w:t>
      </w:r>
    </w:p>
    <w:p w:rsidR="0014770A" w:rsidRDefault="0014770A">
      <w:pPr>
        <w:pStyle w:val="ConsPlusTitle"/>
        <w:jc w:val="center"/>
      </w:pPr>
      <w:r>
        <w:t>И ВИДОВ ФУНКЦИОНАЛЬНОГО ИСПОЛЬЗОВАНИЯ</w:t>
      </w:r>
    </w:p>
    <w:p w:rsidR="0014770A" w:rsidRDefault="001477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7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70A" w:rsidRDefault="00147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Ханты-Мансийского района от 20.02.2019 N 413)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70A" w:rsidRDefault="0014770A">
            <w:pPr>
              <w:pStyle w:val="ConsPlusNormal"/>
            </w:pP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1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0" w:name="P207"/>
      <w:bookmarkEnd w:id="10"/>
      <w:r>
        <w:t>Земли сельскохозяйственного назначения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Руб./га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Пашня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Пастбища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Оленьи пастбища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Залежи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Крестьянско-фермерские хозяйства, личное подсобное хозяйство, садоводство, огородничество, животноводство</w:t>
            </w:r>
          </w:p>
        </w:tc>
        <w:tc>
          <w:tcPr>
            <w:tcW w:w="2721" w:type="dxa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4770A" w:rsidRDefault="0014770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Здания, строения, сооружения, используемые для производства, хранения и первичной переработки сельскохозяйственной продукции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Научно-исследовательские, опытные организации, образовательные учреждения сельскохозяйственного профиля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Хозяйственные товарищества и общества, производственные кооперативы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Земельный налог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 торговли и сервисного обслуживания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1184177,10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Линии электропередач, связи, магистральные трубопроводы и другие линейные объекты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  <w:r>
              <w:t>5313,9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2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r>
        <w:t>Земли особо охраняемых территорий и объектов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Руб./га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10985,2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историко-культурного и природоохранного назначения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5492,6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иное разрешенное использование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13148,9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3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r>
        <w:t>Земли промышленности, энергетики, связи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Руб./га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промышленности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Лесоперерабатывающая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13178,0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Пищевая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26355,9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Карьеры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гидронамывные карьеры песка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1374,9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карьеры торфа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1203,10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сухоройные карьеры песка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1203,10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штабель песка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1031,20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Другая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19767,0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 коммерческого использования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1184177,10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Земли, предоставленные для сельскохозяйственного производства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1660,60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связи, радиовещания, телевидения, информатики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5855,0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энергетики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Электростанции и обслуживающие их сооружения и объекты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26666,7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Воздушные и кабельные ЛЭП, подстанции, распределительные пункты и др. объекты энергетики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4342,0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lastRenderedPageBreak/>
        <w:t>Таблица 4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1" w:name="P328"/>
      <w:bookmarkEnd w:id="11"/>
      <w:r>
        <w:t>Земли транспорта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Руб./га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железнодорожного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железнодорожные станции и другие объекты железнодорожного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-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склады, погрузо-разгрузочные площадки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-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оказание пассажирам услуг коммерческого характера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1184177,10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автомобильного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автодороги, их конструктивные элементы и дорожные сооружения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10560,0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автостанции, объекты дорожного хозяйства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13200,0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 дорожного сервиса (автостоянки, автозаправки, тех. обслуживание, объекты торговли), наружная реклама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1184177,10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водного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порты, причалы, пристани, гидротехнические сооружения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38793,3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выделение береговой полосы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12650,0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водного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63250,0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воздушного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аэропорты, аэродромы, взлетно-посадочные полосы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76546,7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воздушного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114820,0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Земли трубопроводного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</w:pP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нефте- и газопроводы и иные трубопроводы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21693,6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трубопроводного транспорта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34765,4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69" w:type="dxa"/>
          </w:tcPr>
          <w:p w:rsidR="0014770A" w:rsidRDefault="0014770A">
            <w:pPr>
              <w:pStyle w:val="ConsPlusNormal"/>
            </w:pPr>
            <w:r>
              <w:t>охранные зоны</w:t>
            </w:r>
          </w:p>
        </w:tc>
        <w:tc>
          <w:tcPr>
            <w:tcW w:w="2721" w:type="dxa"/>
          </w:tcPr>
          <w:p w:rsidR="0014770A" w:rsidRDefault="0014770A">
            <w:pPr>
              <w:pStyle w:val="ConsPlusNormal"/>
              <w:jc w:val="center"/>
            </w:pPr>
            <w:r>
              <w:t>1807,8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5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2" w:name="P396"/>
      <w:bookmarkEnd w:id="12"/>
      <w:r>
        <w:t>Коэффициенты переходного периода в отношении земельных</w:t>
      </w:r>
    </w:p>
    <w:p w:rsidR="0014770A" w:rsidRDefault="0014770A">
      <w:pPr>
        <w:pStyle w:val="ConsPlusTitle"/>
        <w:jc w:val="center"/>
      </w:pPr>
      <w:r>
        <w:t>участков, расположенных на территории города Ханты-Мансийск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2948"/>
        <w:gridCol w:w="1928"/>
        <w:gridCol w:w="1587"/>
      </w:tblGrid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4" w:type="dxa"/>
            <w:gridSpan w:val="3"/>
          </w:tcPr>
          <w:p w:rsidR="0014770A" w:rsidRDefault="0014770A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Коэффициент переходного периода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для размещения ИЖС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для ведения ЛПХ (приусадебные участки)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4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4770A" w:rsidRDefault="0014770A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14770A">
        <w:tc>
          <w:tcPr>
            <w:tcW w:w="68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0,5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рынки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АЗС, автостоянки, мойки, станции тех. обслуживания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0,3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4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финансово-кредитные институты, юридические компании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общественные, религиозные организации, учреждения образования, науки, здравоохранения, физкультуры и спорта, культуры и искусства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другие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4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машиностроение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складское и коммунальное хозяйство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680" w:type="dxa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аэропорт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0,2</w:t>
            </w:r>
          </w:p>
        </w:tc>
      </w:tr>
      <w:tr w:rsidR="0014770A">
        <w:tc>
          <w:tcPr>
            <w:tcW w:w="68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ж/д путей, автодорог, искусственно созданных водных путей, трубопроводов, линий связи и радиофикации, линий электропередач, других объектов связи, транспорта и энергетики; для размещения объектов спутниковой связи, космической деятельности, обороны, безопасности</w:t>
            </w:r>
          </w:p>
        </w:tc>
        <w:tc>
          <w:tcPr>
            <w:tcW w:w="1928" w:type="dxa"/>
          </w:tcPr>
          <w:p w:rsidR="0014770A" w:rsidRDefault="0014770A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  <w:tr w:rsidR="0014770A">
        <w:tc>
          <w:tcPr>
            <w:tcW w:w="68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192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14770A" w:rsidRDefault="0014770A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587" w:type="dxa"/>
          </w:tcPr>
          <w:p w:rsidR="0014770A" w:rsidRDefault="0014770A">
            <w:pPr>
              <w:pStyle w:val="ConsPlusNormal"/>
              <w:jc w:val="center"/>
            </w:pPr>
            <w:r>
              <w:t>0,7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6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3" w:name="P494"/>
      <w:bookmarkEnd w:id="13"/>
      <w:r>
        <w:t>Коэффициенты переходного периода в отношении земельных</w:t>
      </w:r>
    </w:p>
    <w:p w:rsidR="0014770A" w:rsidRDefault="0014770A">
      <w:pPr>
        <w:pStyle w:val="ConsPlusTitle"/>
        <w:jc w:val="center"/>
      </w:pPr>
      <w:r>
        <w:t>участков, расположенных на землях населенных пунктов</w:t>
      </w:r>
    </w:p>
    <w:p w:rsidR="0014770A" w:rsidRDefault="0014770A">
      <w:pPr>
        <w:pStyle w:val="ConsPlusTitle"/>
        <w:jc w:val="center"/>
      </w:pPr>
      <w:r>
        <w:t>сельских поселений Ханты-Мансийского района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42"/>
        <w:gridCol w:w="3175"/>
        <w:gridCol w:w="1304"/>
      </w:tblGrid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gridSpan w:val="2"/>
          </w:tcPr>
          <w:p w:rsidR="0014770A" w:rsidRDefault="0014770A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Коэффициент переходного периода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17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4770A" w:rsidRDefault="0014770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рынки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автомойки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финансовых, кредитных, юридических, адвокатских компаний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0,5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машиностроение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объекты обороны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742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75" w:type="dxa"/>
          </w:tcPr>
          <w:p w:rsidR="0014770A" w:rsidRDefault="0014770A">
            <w:pPr>
              <w:pStyle w:val="ConsPlusNormal"/>
            </w:pPr>
            <w:r>
              <w:t>прочие</w:t>
            </w:r>
          </w:p>
        </w:tc>
        <w:tc>
          <w:tcPr>
            <w:tcW w:w="1304" w:type="dxa"/>
          </w:tcPr>
          <w:p w:rsidR="0014770A" w:rsidRDefault="0014770A">
            <w:pPr>
              <w:pStyle w:val="ConsPlusNormal"/>
              <w:jc w:val="center"/>
            </w:pPr>
            <w:r>
              <w:t>1,5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7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4" w:name="P604"/>
      <w:bookmarkEnd w:id="14"/>
      <w:r>
        <w:t>Ставки арендной платы за земельные участки, расположенные</w:t>
      </w:r>
    </w:p>
    <w:p w:rsidR="0014770A" w:rsidRDefault="0014770A">
      <w:pPr>
        <w:pStyle w:val="ConsPlusTitle"/>
        <w:jc w:val="center"/>
      </w:pPr>
      <w:r>
        <w:t>на территории города Ханты-Мансийск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65"/>
        <w:gridCol w:w="1475"/>
        <w:gridCol w:w="2835"/>
        <w:gridCol w:w="1247"/>
      </w:tblGrid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Город Ханты-Мансийск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5" w:type="dxa"/>
            <w:gridSpan w:val="3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14770A" w:rsidRDefault="0014770A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рынки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автомойки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</w:tcPr>
          <w:p w:rsidR="0014770A" w:rsidRDefault="0014770A">
            <w:pPr>
              <w:pStyle w:val="ConsPlusNormal"/>
            </w:pPr>
            <w: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665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310" w:type="dxa"/>
            <w:gridSpan w:val="2"/>
          </w:tcPr>
          <w:p w:rsidR="0014770A" w:rsidRDefault="0014770A">
            <w:pPr>
              <w:pStyle w:val="ConsPlusNormal"/>
            </w:pPr>
            <w:r>
              <w:t xml:space="preserve">объекты образования, науки, </w:t>
            </w:r>
            <w:r>
              <w:lastRenderedPageBreak/>
              <w:t>здравоохранения, физкультуры и спорта, культуры и искусства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  <w:gridSpan w:val="2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машиностроение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56</w:t>
            </w:r>
          </w:p>
        </w:tc>
      </w:tr>
      <w:tr w:rsidR="0014770A">
        <w:tc>
          <w:tcPr>
            <w:tcW w:w="850" w:type="dxa"/>
          </w:tcPr>
          <w:p w:rsidR="0014770A" w:rsidRDefault="00147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5" w:type="dxa"/>
            <w:gridSpan w:val="3"/>
          </w:tcPr>
          <w:p w:rsidR="0014770A" w:rsidRDefault="0014770A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земельный налог</w:t>
            </w:r>
          </w:p>
        </w:tc>
      </w:tr>
      <w:tr w:rsidR="0014770A">
        <w:tc>
          <w:tcPr>
            <w:tcW w:w="850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  <w:gridSpan w:val="2"/>
            <w:vMerge w:val="restart"/>
          </w:tcPr>
          <w:p w:rsidR="0014770A" w:rsidRDefault="0014770A">
            <w:pPr>
              <w:pStyle w:val="ConsPlusNormal"/>
            </w:pPr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</w:t>
            </w:r>
            <w:r>
              <w:lastRenderedPageBreak/>
              <w:t>спутниковой связи, объектов космической деятельности, военных объектов</w:t>
            </w: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0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4140" w:type="dxa"/>
            <w:gridSpan w:val="2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2835" w:type="dxa"/>
          </w:tcPr>
          <w:p w:rsidR="0014770A" w:rsidRDefault="0014770A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247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right"/>
        <w:outlineLvl w:val="2"/>
      </w:pPr>
      <w:r>
        <w:t>Таблица 8</w:t>
      </w: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Title"/>
        <w:jc w:val="center"/>
      </w:pPr>
      <w:bookmarkStart w:id="15" w:name="P708"/>
      <w:bookmarkEnd w:id="15"/>
      <w:r>
        <w:t>Ставки арендной платы за земельные участки, расположенные</w:t>
      </w:r>
    </w:p>
    <w:p w:rsidR="0014770A" w:rsidRDefault="0014770A">
      <w:pPr>
        <w:pStyle w:val="ConsPlusTitle"/>
        <w:jc w:val="center"/>
      </w:pPr>
      <w:r>
        <w:t>на землях населенных пунктов сельских поселений</w:t>
      </w:r>
    </w:p>
    <w:p w:rsidR="0014770A" w:rsidRDefault="0014770A">
      <w:pPr>
        <w:pStyle w:val="ConsPlusTitle"/>
        <w:jc w:val="center"/>
      </w:pPr>
      <w:r>
        <w:t>Ханты-Мансийского района</w:t>
      </w:r>
    </w:p>
    <w:p w:rsidR="0014770A" w:rsidRDefault="00147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3543"/>
        <w:gridCol w:w="1560"/>
      </w:tblGrid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Сельские поселения Ханты-Мансийского района</w:t>
            </w:r>
          </w:p>
        </w:tc>
      </w:tr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61" w:type="dxa"/>
            <w:gridSpan w:val="2"/>
            <w:tcBorders>
              <w:bottom w:val="nil"/>
            </w:tcBorders>
          </w:tcPr>
          <w:p w:rsidR="0014770A" w:rsidRDefault="0014770A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560" w:type="dxa"/>
            <w:tcBorders>
              <w:bottom w:val="nil"/>
            </w:tcBorders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14770A" w:rsidRDefault="0014770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рынки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автомойки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7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</w:tr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11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9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13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машиностроение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-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1" w:type="dxa"/>
          </w:tcPr>
          <w:p w:rsidR="0014770A" w:rsidRDefault="00147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1" w:type="dxa"/>
            <w:gridSpan w:val="2"/>
          </w:tcPr>
          <w:p w:rsidR="0014770A" w:rsidRDefault="0014770A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14770A">
        <w:tc>
          <w:tcPr>
            <w:tcW w:w="851" w:type="dxa"/>
            <w:vMerge w:val="restart"/>
          </w:tcPr>
          <w:p w:rsidR="0014770A" w:rsidRDefault="00147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vMerge w:val="restart"/>
          </w:tcPr>
          <w:p w:rsidR="0014770A" w:rsidRDefault="0014770A">
            <w:pPr>
              <w:pStyle w:val="ConsPlusNormal"/>
            </w:pPr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</w:t>
            </w:r>
            <w:r>
              <w:lastRenderedPageBreak/>
              <w:t>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4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5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объекты обороны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2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13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  <w:tr w:rsidR="0014770A">
        <w:tc>
          <w:tcPr>
            <w:tcW w:w="851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118" w:type="dxa"/>
            <w:vMerge/>
          </w:tcPr>
          <w:p w:rsidR="0014770A" w:rsidRDefault="0014770A">
            <w:pPr>
              <w:pStyle w:val="ConsPlusNormal"/>
            </w:pPr>
          </w:p>
        </w:tc>
        <w:tc>
          <w:tcPr>
            <w:tcW w:w="3543" w:type="dxa"/>
          </w:tcPr>
          <w:p w:rsidR="0014770A" w:rsidRDefault="0014770A">
            <w:pPr>
              <w:pStyle w:val="ConsPlusNormal"/>
            </w:pPr>
            <w:r>
              <w:t>прочие</w:t>
            </w:r>
          </w:p>
        </w:tc>
        <w:tc>
          <w:tcPr>
            <w:tcW w:w="1560" w:type="dxa"/>
          </w:tcPr>
          <w:p w:rsidR="0014770A" w:rsidRDefault="0014770A">
            <w:pPr>
              <w:pStyle w:val="ConsPlusNormal"/>
              <w:jc w:val="center"/>
            </w:pPr>
            <w:r>
              <w:t>6</w:t>
            </w:r>
          </w:p>
        </w:tc>
      </w:tr>
    </w:tbl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jc w:val="both"/>
      </w:pPr>
    </w:p>
    <w:p w:rsidR="0014770A" w:rsidRDefault="001477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BE9" w:rsidRDefault="00780BE9"/>
    <w:sectPr w:rsidR="00780BE9" w:rsidSect="004474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0A"/>
    <w:rsid w:val="0014770A"/>
    <w:rsid w:val="004474D2"/>
    <w:rsid w:val="00780BE9"/>
    <w:rsid w:val="008C4F48"/>
    <w:rsid w:val="00B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8EE3-7459-493D-ACE5-42D97C0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77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7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77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7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77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77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77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DB468DD5907076F7E34B57C8DEC83C7BC416ABDABD905C361A41AE3FC61044F283CE7F089C7D3D428A413168AE8C65783CF46712Fg7Y6K" TargetMode="External"/><Relationship Id="rId13" Type="http://schemas.openxmlformats.org/officeDocument/2006/relationships/hyperlink" Target="consultantplus://offline/ref=6C7DB468DD5907076F7E2AB86AE1BB8CC5B71D65B4A9DB519B31A24DBCAC67510F683AB0A8CB91D5817AFE461F95E9D855g8Y4K" TargetMode="External"/><Relationship Id="rId18" Type="http://schemas.openxmlformats.org/officeDocument/2006/relationships/hyperlink" Target="consultantplus://offline/ref=6C7DB468DD5907076F7E34B57C8DEC83C7BE466DBCACD905C361A41AE3FC61045D2864E9F88CDAD88467E24619g8Y8K" TargetMode="External"/><Relationship Id="rId26" Type="http://schemas.openxmlformats.org/officeDocument/2006/relationships/hyperlink" Target="consultantplus://offline/ref=6C7DB468DD5907076F7E2AB86AE1BB8CC5B71D65B7ACDA5A9F36A24DBCAC67510F683AB0BACBC9D98079E0471F80BF8913D2DC45723375EB43B7083Dg6Y1K" TargetMode="External"/><Relationship Id="rId39" Type="http://schemas.openxmlformats.org/officeDocument/2006/relationships/hyperlink" Target="consultantplus://offline/ref=6C7DB468DD5907076F7E34B57C8DEC83C7BF406DBCABD905C361A41AE3FC61044F283CE5F98FC4DF8172B4175FDEE6D95499D1406F2F75EDg5Y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DB468DD5907076F7E2AB86AE1BB8CC5B71D65B7ACDA5A9F36A24DBCAC67510F683AB0BACBC9D98079E0461C80BF8913D2DC45723375EB43B7083Dg6Y1K" TargetMode="External"/><Relationship Id="rId34" Type="http://schemas.openxmlformats.org/officeDocument/2006/relationships/hyperlink" Target="consultantplus://offline/ref=6C7DB468DD5907076F7E2AB86AE1BB8CC5B71D65B7ACDA5A9F36A24DBCAC67510F683AB0BACBC9D98079E0471E80BF8913D2DC45723375EB43B7083Dg6Y1K" TargetMode="External"/><Relationship Id="rId42" Type="http://schemas.openxmlformats.org/officeDocument/2006/relationships/hyperlink" Target="consultantplus://offline/ref=6C7DB468DD5907076F7E2AB86AE1BB8CC5B71D65B4A1DA539F36A24DBCAC67510F683AB0BACBC9D98079E0461380BF8913D2DC45723375EB43B7083Dg6Y1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C7DB468DD5907076F7E34B57C8DEC83C7BE466DBCACD905C361A41AE3FC61044F283CE1F886CF8CD13DB54B1A88F5D85399D34473g2YEK" TargetMode="External"/><Relationship Id="rId12" Type="http://schemas.openxmlformats.org/officeDocument/2006/relationships/hyperlink" Target="consultantplus://offline/ref=6C7DB468DD5907076F7E2AB86AE1BB8CC5B71D65B4A9D2549F30A24DBCAC67510F683AB0A8CB91D5817AFE461F95E9D855g8Y4K" TargetMode="External"/><Relationship Id="rId17" Type="http://schemas.openxmlformats.org/officeDocument/2006/relationships/hyperlink" Target="consultantplus://offline/ref=6C7DB468DD5907076F7E2AB86AE1BB8CC5B71D65B7ACDA5A9F36A24DBCAC67510F683AB0BACBC9D98079E0461D80BF8913D2DC45723375EB43B7083Dg6Y1K" TargetMode="External"/><Relationship Id="rId25" Type="http://schemas.openxmlformats.org/officeDocument/2006/relationships/hyperlink" Target="consultantplus://offline/ref=6C7DB468DD5907076F7E2AB86AE1BB8CC5B71D65B7ACDA5A9F36A24DBCAC67510F683AB0BACBC9D98079E0471B80BF8913D2DC45723375EB43B7083Dg6Y1K" TargetMode="External"/><Relationship Id="rId33" Type="http://schemas.openxmlformats.org/officeDocument/2006/relationships/hyperlink" Target="consultantplus://offline/ref=6C7DB468DD5907076F7E34B57C8DEC83C7BF406DBCABD905C361A41AE3FC61044F283CE6FB8FCF8CD13DB54B1A88F5D85399D34473g2YEK" TargetMode="External"/><Relationship Id="rId38" Type="http://schemas.openxmlformats.org/officeDocument/2006/relationships/hyperlink" Target="consultantplus://offline/ref=6C7DB468DD5907076F7E2AB86AE1BB8CC5B71D65B7ACDA5A9F36A24DBCAC67510F683AB0BACBC9D98079E0471D80BF8913D2DC45723375EB43B7083Dg6Y1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DB468DD5907076F7E2AB86AE1BB8CC5B71D65B4A1DA539F36A24DBCAC67510F683AB0BACBC9D98079E0461D80BF8913D2DC45723375EB43B7083Dg6Y1K" TargetMode="External"/><Relationship Id="rId20" Type="http://schemas.openxmlformats.org/officeDocument/2006/relationships/hyperlink" Target="consultantplus://offline/ref=6C7DB468DD5907076F7E34B57C8DEC83C7BF406DBCABD905C361A41AE3FC61044F283CE6FB8FCF8CD13DB54B1A88F5D85399D34473g2YEK" TargetMode="External"/><Relationship Id="rId29" Type="http://schemas.openxmlformats.org/officeDocument/2006/relationships/hyperlink" Target="consultantplus://offline/ref=6C7DB468DD5907076F7E34B57C8DEC83C7BF456BB2ACD905C361A41AE3FC61045D2864E9F88CDAD88467E24619g8Y8K" TargetMode="External"/><Relationship Id="rId41" Type="http://schemas.openxmlformats.org/officeDocument/2006/relationships/hyperlink" Target="consultantplus://offline/ref=6C7DB468DD5907076F7E2AB86AE1BB8CC5B71D65B4A1DA539F36A24DBCAC67510F683AB0BACBC9D98079E0461C80BF8913D2DC45723375EB43B7083Dg6Y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DB468DD5907076F7E2AB86AE1BB8CC5B71D65B7ACDA5A9F36A24DBCAC67510F683AB0BACBC9D98079E0461E80BF8913D2DC45723375EB43B7083Dg6Y1K" TargetMode="External"/><Relationship Id="rId11" Type="http://schemas.openxmlformats.org/officeDocument/2006/relationships/hyperlink" Target="consultantplus://offline/ref=6C7DB468DD5907076F7E2AB86AE1BB8CC5B71D65B4ABD0579732A24DBCAC67510F683AB0A8CB91D5817AFE461F95E9D855g8Y4K" TargetMode="External"/><Relationship Id="rId24" Type="http://schemas.openxmlformats.org/officeDocument/2006/relationships/hyperlink" Target="consultantplus://offline/ref=6C7DB468DD5907076F7E34B57C8DEC83C7BE466BB3ACD905C361A41AE3FC61044F283CE5F98FC2DF8572B4175FDEE6D95499D1406F2F75EDg5YEK" TargetMode="External"/><Relationship Id="rId32" Type="http://schemas.openxmlformats.org/officeDocument/2006/relationships/hyperlink" Target="consultantplus://offline/ref=6C7DB468DD5907076F7E34B57C8DEC83C7BE466DBCACD905C361A41AE3FC61044F283CE1FB8ECF8CD13DB54B1A88F5D85399D34473g2YEK" TargetMode="External"/><Relationship Id="rId37" Type="http://schemas.openxmlformats.org/officeDocument/2006/relationships/hyperlink" Target="consultantplus://offline/ref=6C7DB468DD5907076F7E34B57C8DEC83C7BE466BB3ACD905C361A41AE3FC61044F283CE5F98FC2DF8572B4175FDEE6D95499D1406F2F75EDg5YEK" TargetMode="External"/><Relationship Id="rId40" Type="http://schemas.openxmlformats.org/officeDocument/2006/relationships/hyperlink" Target="consultantplus://offline/ref=6C7DB468DD5907076F7E2AB86AE1BB8CC5B71D65B4A1DA539F36A24DBCAC67510F683AB0BACBC9D98079E0461D80BF8913D2DC45723375EB43B7083Dg6Y1K" TargetMode="External"/><Relationship Id="rId45" Type="http://schemas.openxmlformats.org/officeDocument/2006/relationships/hyperlink" Target="consultantplus://offline/ref=6C7DB468DD5907076F7E2AB86AE1BB8CC5B71D65B4A1DA539F36A24DBCAC67510F683AB0BACBC9D98079E0461380BF8913D2DC45723375EB43B7083Dg6Y1K" TargetMode="External"/><Relationship Id="rId5" Type="http://schemas.openxmlformats.org/officeDocument/2006/relationships/hyperlink" Target="consultantplus://offline/ref=6C7DB468DD5907076F7E2AB86AE1BB8CC5B71D65B4A1DA539F36A24DBCAC67510F683AB0BACBC9D98079E0461E80BF8913D2DC45723375EB43B7083Dg6Y1K" TargetMode="External"/><Relationship Id="rId15" Type="http://schemas.openxmlformats.org/officeDocument/2006/relationships/hyperlink" Target="consultantplus://offline/ref=6C7DB468DD5907076F7E2AB86AE1BB8CC5B71D65B4A8DA569630A24DBCAC67510F683AB0A8CB91D5817AFE461F95E9D855g8Y4K" TargetMode="External"/><Relationship Id="rId23" Type="http://schemas.openxmlformats.org/officeDocument/2006/relationships/hyperlink" Target="consultantplus://offline/ref=6C7DB468DD5907076F7E34B57C8DEC83C7BE466DBCACD905C361A41AE3FC61044F283CE5FB89C3D3D428A413168AE8C65783CF46712Fg7Y6K" TargetMode="External"/><Relationship Id="rId28" Type="http://schemas.openxmlformats.org/officeDocument/2006/relationships/hyperlink" Target="consultantplus://offline/ref=6C7DB468DD5907076F7E34B57C8DEC83C7BE466DBCACD905C361A41AE3FC61044F283CE1F98CCF8CD13DB54B1A88F5D85399D34473g2YEK" TargetMode="External"/><Relationship Id="rId36" Type="http://schemas.openxmlformats.org/officeDocument/2006/relationships/hyperlink" Target="consultantplus://offline/ref=6C7DB468DD5907076F7E34B57C8DEC83C7BE466DBCACD905C361A41AE3FC61044F283CE5FB89C3D3D428A413168AE8C65783CF46712Fg7Y6K" TargetMode="External"/><Relationship Id="rId10" Type="http://schemas.openxmlformats.org/officeDocument/2006/relationships/hyperlink" Target="consultantplus://offline/ref=6C7DB468DD5907076F7E2AB86AE1BB8CC5B71D65B7AED0579F3CA24DBCAC67510F683AB0A8CB91D5817AFE461F95E9D855g8Y4K" TargetMode="External"/><Relationship Id="rId19" Type="http://schemas.openxmlformats.org/officeDocument/2006/relationships/hyperlink" Target="consultantplus://offline/ref=6C7DB468DD5907076F7E34B57C8DEC83C7BE466DBCACD905C361A41AE3FC61044F283CE1FB8ECF8CD13DB54B1A88F5D85399D34473g2YEK" TargetMode="External"/><Relationship Id="rId31" Type="http://schemas.openxmlformats.org/officeDocument/2006/relationships/hyperlink" Target="consultantplus://offline/ref=6C7DB468DD5907076F7E2AB86AE1BB8CC5B71D65B7ACD0559C31A24DBCAC67510F683AB0A8CB91D5817AFE461F95E9D855g8Y4K" TargetMode="External"/><Relationship Id="rId44" Type="http://schemas.openxmlformats.org/officeDocument/2006/relationships/hyperlink" Target="consultantplus://offline/ref=6C7DB468DD5907076F7E2AB86AE1BB8CC5B71D65B4A1DA539F36A24DBCAC67510F683AB0BACBC9D98079E0461380BF8913D2DC45723375EB43B7083Dg6Y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7DB468DD5907076F7E34B57C8DEC83C7BF4A6EBDABD905C361A41AE3FC61045D2864E9F88CDAD88467E24619g8Y8K" TargetMode="External"/><Relationship Id="rId14" Type="http://schemas.openxmlformats.org/officeDocument/2006/relationships/hyperlink" Target="consultantplus://offline/ref=6C7DB468DD5907076F7E2AB86AE1BB8CC5B71D65B4A8D0529935A24DBCAC67510F683AB0A8CB91D5817AFE461F95E9D855g8Y4K" TargetMode="External"/><Relationship Id="rId22" Type="http://schemas.openxmlformats.org/officeDocument/2006/relationships/hyperlink" Target="consultantplus://offline/ref=6C7DB468DD5907076F7E2AB86AE1BB8CC5B71D65B7ACDA5A9F36A24DBCAC67510F683AB0BACBC9D98079E0461380BF8913D2DC45723375EB43B7083Dg6Y1K" TargetMode="External"/><Relationship Id="rId27" Type="http://schemas.openxmlformats.org/officeDocument/2006/relationships/hyperlink" Target="consultantplus://offline/ref=6C7DB468DD5907076F7E34B57C8DEC83C7BE466DBCACD905C361A41AE3FC61044F283CE1F98FCF8CD13DB54B1A88F5D85399D34473g2YEK" TargetMode="External"/><Relationship Id="rId30" Type="http://schemas.openxmlformats.org/officeDocument/2006/relationships/hyperlink" Target="consultantplus://offline/ref=6C7DB468DD5907076F7E34B57C8DEC83C7BF456BB2ACD905C361A41AE3FC61045D2864E9F88CDAD88467E24619g8Y8K" TargetMode="External"/><Relationship Id="rId35" Type="http://schemas.openxmlformats.org/officeDocument/2006/relationships/hyperlink" Target="consultantplus://offline/ref=6C7DB468DD5907076F7E34B57C8DEC83C7BF406DBCABD905C361A41AE3FC61044F283CEDFC849089C42CED471895EBDC4985D146g7Y2K" TargetMode="External"/><Relationship Id="rId43" Type="http://schemas.openxmlformats.org/officeDocument/2006/relationships/hyperlink" Target="consultantplus://offline/ref=6C7DB468DD5907076F7E2AB86AE1BB8CC5B71D65B4A1DA539F36A24DBCAC67510F683AB0BACBC9D98079E0461380BF8913D2DC45723375EB43B7083Dg6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7178</Words>
  <Characters>40918</Characters>
  <Application>Microsoft Office Word</Application>
  <DocSecurity>0</DocSecurity>
  <Lines>340</Lines>
  <Paragraphs>95</Paragraphs>
  <ScaleCrop>false</ScaleCrop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2</cp:revision>
  <dcterms:created xsi:type="dcterms:W3CDTF">2023-04-13T10:24:00Z</dcterms:created>
  <dcterms:modified xsi:type="dcterms:W3CDTF">2023-04-13T10:35:00Z</dcterms:modified>
</cp:coreProperties>
</file>