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Заявка</w:t>
      </w:r>
      <w:r/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</w:t>
      </w:r>
      <w:r>
        <w:rPr>
          <w:rFonts w:eastAsia="Times New Roman"/>
          <w:sz w:val="28"/>
          <w:szCs w:val="28"/>
        </w:rPr>
        <w:t xml:space="preserve"> участие в ежегодном конкурсе </w:t>
      </w:r>
      <w:r/>
    </w:p>
    <w:p>
      <w:pPr>
        <w:jc w:val="center"/>
        <w:widowControl w:val="o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«Лучшие практики по содействию развитию конкуренции» </w:t>
      </w:r>
      <w:r/>
    </w:p>
    <w:p>
      <w:pPr>
        <w:jc w:val="center"/>
        <w:widowControl w:val="o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0"/>
        <w:gridCol w:w="3396"/>
        <w:gridCol w:w="5351"/>
      </w:tblGrid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874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практики по содействию развитию конкуренции: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Наименование заявителя: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(наименование органа исполнительной власти автономного округа / органа местного самоуправления муниципального образования автономного округа / хозяйствующего субъекта)</w:t>
            </w:r>
            <w:r>
              <w:rPr>
                <w:i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Контактная информация исполнителя: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ф</w:t>
            </w:r>
            <w:r>
              <w:rPr>
                <w:sz w:val="24"/>
                <w:szCs w:val="24"/>
                <w:highlight w:val="white"/>
              </w:rPr>
              <w:t xml:space="preserve">амилия, имя, отчество</w:t>
            </w:r>
            <w:r>
              <w:rPr>
                <w:sz w:val="24"/>
                <w:szCs w:val="24"/>
                <w:highlight w:val="white"/>
              </w:rPr>
              <w:t xml:space="preserve">;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место нахождения</w:t>
            </w:r>
            <w:r>
              <w:rPr>
                <w:sz w:val="24"/>
                <w:szCs w:val="24"/>
                <w:highlight w:val="white"/>
              </w:rPr>
              <w:t xml:space="preserve">;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bCs/>
                <w:i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т</w:t>
            </w:r>
            <w:r>
              <w:rPr>
                <w:sz w:val="24"/>
                <w:szCs w:val="24"/>
                <w:highlight w:val="white"/>
              </w:rPr>
              <w:t xml:space="preserve">елефон, адрес электронной почты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jc w:val="center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Направление реализации практики, соответствующее целям и принципам государственной политики по развитию конкуренции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Выбрать одно из направлений: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1)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2) увеличение количества хозяйствующих субъектов частной формы собственности;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3)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4) обеспечение равных условий и свободы экономической деятельности на территории Российской Федерации;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5) обеспечение развития малого и среднего предпринимательства;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6) направленность государственных инвестиций на развитие конкуренции;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7) обеспечение условий для привлечения инвестиций хозяйствующих субъектов в развитие товарных рынков;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8) развитие организованной (биржевой) торговли в Российской Федерации;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9)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участием.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Описание практики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(в т.ч. актуальность, целесообразность реализации практики, уникальность)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jc w:val="center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Сроки </w:t>
            </w:r>
            <w:r>
              <w:rPr>
                <w:sz w:val="24"/>
                <w:szCs w:val="24"/>
                <w:highlight w:val="white"/>
              </w:rPr>
              <w:t xml:space="preserve">внедрения /</w:t>
            </w:r>
            <w:r>
              <w:rPr>
                <w:sz w:val="24"/>
                <w:szCs w:val="24"/>
                <w:highlight w:val="white"/>
              </w:rPr>
              <w:t xml:space="preserve"> реализ</w:t>
            </w:r>
            <w:r>
              <w:rPr>
                <w:sz w:val="24"/>
                <w:szCs w:val="24"/>
                <w:highlight w:val="white"/>
              </w:rPr>
              <w:t xml:space="preserve">ации практики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Используемые ресурсы при реализации практики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599"/>
              <w:jc w:val="center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(финансовые, трудовые, материальные, технические и другие)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3396" w:type="dxa"/>
            <w:vMerge w:val="restart"/>
            <w:textDirection w:val="lrTb"/>
            <w:noWrap w:val="false"/>
          </w:tcPr>
          <w:p>
            <w:pPr>
              <w:pStyle w:val="599"/>
              <w:contextualSpacing w:val="0"/>
              <w:jc w:val="center"/>
              <w:spacing w:before="0" w:after="0" w:line="240" w:lineRule="auto"/>
              <w:widowControl w:val="off"/>
              <w:rPr>
                <w:sz w:val="24"/>
                <w:szCs w:val="24"/>
              </w:rPr>
              <w:suppressLineNumbers w:val="0"/>
            </w:pP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Положительный эффект 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(</w:t>
            </w:r>
            <w:r>
              <w:rPr>
                <w:i w:val="0"/>
                <w:iCs w:val="0"/>
                <w:color w:val="000000" w:themeColor="text1"/>
                <w:sz w:val="24"/>
                <w:szCs w:val="24"/>
                <w:highlight w:val="white"/>
              </w:rPr>
              <w:t xml:space="preserve">резул</w:t>
            </w:r>
            <w:r>
              <w:rPr>
                <w:i w:val="0"/>
                <w:iCs w:val="0"/>
                <w:color w:val="000000" w:themeColor="text1"/>
                <w:sz w:val="24"/>
                <w:szCs w:val="24"/>
                <w:highlight w:val="white"/>
              </w:rPr>
              <w:t xml:space="preserve">ь</w:t>
            </w:r>
            <w:r>
              <w:rPr>
                <w:i w:val="0"/>
                <w:iCs w:val="0"/>
                <w:color w:val="000000" w:themeColor="text1"/>
                <w:sz w:val="24"/>
                <w:szCs w:val="24"/>
                <w:highlight w:val="white"/>
              </w:rPr>
              <w:t xml:space="preserve">т</w:t>
            </w:r>
            <w:r>
              <w:rPr>
                <w:i w:val="0"/>
                <w:iCs w:val="0"/>
                <w:color w:val="000000" w:themeColor="text1"/>
                <w:sz w:val="24"/>
                <w:szCs w:val="24"/>
                <w:highlight w:val="white"/>
              </w:rPr>
              <w:t xml:space="preserve">ат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)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о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т реализации практики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iCs/>
                <w:sz w:val="24"/>
                <w:szCs w:val="24"/>
                <w:highlight w:val="white"/>
              </w:rPr>
              <w:t xml:space="preserve">(</w:t>
            </w:r>
            <w:r>
              <w:rPr>
                <w:i/>
                <w:iCs/>
                <w:sz w:val="24"/>
                <w:szCs w:val="24"/>
                <w:highlight w:val="white"/>
              </w:rPr>
              <w:t xml:space="preserve">значения количественных (качественных) показателей результата</w:t>
            </w:r>
            <w:r>
              <w:rPr>
                <w:i/>
                <w:iCs/>
                <w:sz w:val="24"/>
                <w:szCs w:val="24"/>
                <w:highlight w:val="white"/>
              </w:rPr>
              <w:t xml:space="preserve">) </w:t>
            </w:r>
            <w:r>
              <w:rPr>
                <w:i w:val="0"/>
                <w:iCs w:val="0"/>
                <w:strike w:val="0"/>
                <w:sz w:val="24"/>
                <w:szCs w:val="24"/>
                <w:highlight w:val="white"/>
                <w:u w:val="none"/>
              </w:rPr>
              <w:t xml:space="preserve">не менее чем за 3 месяца, а в случае ее функционирования менее 3 месяцев – </w:t>
            </w:r>
            <w:r>
              <w:rPr>
                <w:i w:val="0"/>
                <w:iCs w:val="0"/>
                <w:strike w:val="0"/>
                <w:sz w:val="24"/>
                <w:szCs w:val="24"/>
                <w:highlight w:val="white"/>
                <w:u w:val="none"/>
              </w:rPr>
              <w:t xml:space="preserve">за весь срок ее реализации;</w:t>
            </w:r>
            <w:r>
              <w:rPr>
                <w:bCs w:val="0"/>
                <w:i w:val="0"/>
                <w:iCs/>
                <w:strike w:val="0"/>
                <w:sz w:val="24"/>
                <w:szCs w:val="24"/>
                <w:highlight w:val="none"/>
                <w:u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 w:val="0"/>
              <w:jc w:val="center"/>
              <w:spacing w:before="0" w:after="0" w:line="240" w:lineRule="auto"/>
              <w:widowControl w:val="off"/>
              <w:rPr>
                <w:bCs w:val="0"/>
                <w:i w:val="0"/>
                <w:strike w:val="0"/>
                <w:sz w:val="24"/>
                <w:szCs w:val="24"/>
                <w:highlight w:val="none"/>
                <w:u w:val="none"/>
              </w:rPr>
              <w:suppressLineNumbers w:val="0"/>
            </w:pPr>
            <w:r>
              <w:rPr>
                <w:i w:val="0"/>
                <w:iCs w:val="0"/>
                <w:strike w:val="0"/>
                <w:sz w:val="24"/>
                <w:szCs w:val="24"/>
                <w:highlight w:val="none"/>
                <w:u w:val="none"/>
              </w:rPr>
              <w:t xml:space="preserve">длительность эффекта от реализации практики</w:t>
            </w:r>
            <w:r>
              <w:rPr>
                <w:bCs/>
                <w:i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W w:w="535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contextualSpacing w:val="0"/>
              <w:jc w:val="center"/>
              <w:spacing w:before="0" w:after="0" w:line="240" w:lineRule="auto"/>
              <w:widowControl w:val="off"/>
              <w:rPr>
                <w:sz w:val="24"/>
                <w:szCs w:val="24"/>
                <w:highlight w:val="white"/>
              </w:rPr>
              <w:suppressLineNumbers w:val="0"/>
            </w:pPr>
            <w:r>
              <w:rPr>
                <w:i w:val="0"/>
                <w:iCs w:val="0"/>
                <w:sz w:val="24"/>
                <w:szCs w:val="24"/>
                <w:highlight w:val="none"/>
              </w:rPr>
              <w:t xml:space="preserve">Возможность внедрения и распространения (популяризации) практики в автономном округе</w:t>
            </w:r>
            <w:r>
              <w:rPr>
                <w:i w:val="0"/>
                <w:iCs w:val="0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396" w:type="dxa"/>
            <w:textDirection w:val="lrTb"/>
            <w:noWrap w:val="false"/>
          </w:tcPr>
          <w:p>
            <w:pPr>
              <w:pStyle w:val="599"/>
              <w:jc w:val="center"/>
              <w:widowControl w:val="o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Значимость и практическая польза практики, ее влияние на развитие конкуренции в автономном округе (согласно заданному направлению, соответствующему целям и принципам государственной политики по развитию конкуренции)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center"/>
        <w:widowControl w:val="o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Перечень прилагаемых документов</w:t>
      </w:r>
      <w:r>
        <w:rPr>
          <w:sz w:val="28"/>
          <w:szCs w:val="28"/>
          <w:lang w:eastAsia="en-US"/>
        </w:rPr>
        <w:t xml:space="preserve">:</w:t>
      </w:r>
      <w:r/>
    </w:p>
    <w:p>
      <w:pPr>
        <w:jc w:val="both"/>
        <w:tabs>
          <w:tab w:val="left" w:pos="851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</w:t>
      </w:r>
      <w:r/>
    </w:p>
    <w:p>
      <w:pPr>
        <w:jc w:val="both"/>
        <w:tabs>
          <w:tab w:val="left" w:pos="851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</w:t>
      </w:r>
      <w:r/>
    </w:p>
    <w:p>
      <w:pPr>
        <w:jc w:val="both"/>
        <w:tabs>
          <w:tab w:val="left" w:pos="851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</w:t>
      </w:r>
      <w:r/>
    </w:p>
    <w:p>
      <w:pPr>
        <w:jc w:val="both"/>
        <w:tabs>
          <w:tab w:val="left" w:pos="851" w:leader="none"/>
        </w:tabs>
        <w:rPr>
          <w:sz w:val="36"/>
          <w:szCs w:val="28"/>
          <w:lang w:eastAsia="en-US"/>
        </w:rPr>
      </w:pPr>
      <w:r/>
      <w:bookmarkStart w:id="0" w:name="_GoBack"/>
      <w:r/>
      <w:bookmarkEnd w:id="0"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709"/>
        <w:gridCol w:w="2800"/>
      </w:tblGrid>
      <w:tr>
        <w:trPr>
          <w:trHeight w:val="903"/>
        </w:trPr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должности</w:t>
            </w:r>
            <w:r/>
          </w:p>
          <w:p>
            <w:pPr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792480</wp:posOffset>
                      </wp:positionV>
                      <wp:extent cx="1150620" cy="0"/>
                      <wp:effectExtent l="11430" t="11430" r="9525" b="7620"/>
                      <wp:wrapNone/>
                      <wp:docPr id="1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32" type="#_x0000_t32" style="position:absolute;z-index:251659264;o:allowoverlap:true;o:allowincell:true;mso-position-horizontal-relative:text;margin-left:36.7pt;mso-position-horizontal:absolute;mso-position-vertical-relative:text;margin-top:62.4pt;mso-position-vertical:absolute;width:90.6pt;height:0.0pt;mso-wrap-distance-left:9.0pt;mso-wrap-distance-top:0.0pt;mso-wrap-distance-right:9.0pt;mso-wrap-distance-bottom:0.0pt;visibility:visible;" filled="f" strokecolor="#000000" strokeweight="0.75pt"/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792480</wp:posOffset>
                      </wp:positionV>
                      <wp:extent cx="1447165" cy="0"/>
                      <wp:effectExtent l="13335" t="11430" r="6350" b="7620"/>
                      <wp:wrapNone/>
                      <wp:docPr id="2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32" type="#_x0000_t32" style="position:absolute;z-index:251660288;o:allowoverlap:true;o:allowincell:true;mso-position-horizontal-relative:text;margin-left:30.2pt;mso-position-horizontal:absolute;mso-position-vertical-relative:text;margin-top:62.4pt;mso-position-vertical:absolute;width:113.9pt;height:0.0pt;mso-wrap-distance-left:9.0pt;mso-wrap-distance-top:0.0pt;mso-wrap-distance-right:9.0pt;mso-wrap-distance-bottom:0.0pt;visibility:visible;" filled="f" strokecolor="#000000" strokeweight="0.75pt"/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800" w:type="dxa"/>
            <w:vAlign w:val="bottom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widowControl w:val="off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   (</w:t>
            </w:r>
            <w:r>
              <w:rPr>
                <w:rFonts w:eastAsia="Times New Roman"/>
                <w:i/>
              </w:rPr>
              <w:t xml:space="preserve">подпись</w:t>
            </w:r>
            <w:r>
              <w:rPr>
                <w:rFonts w:eastAsia="Times New Roman"/>
                <w:i/>
              </w:rPr>
              <w:t xml:space="preserve">)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 М.П. </w:t>
            </w:r>
            <w:r/>
          </w:p>
          <w:p>
            <w:pPr>
              <w:jc w:val="center"/>
              <w:widowControl w:val="off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sz w:val="22"/>
                <w:szCs w:val="28"/>
                <w:lang w:eastAsia="en-US"/>
              </w:rPr>
              <w:t xml:space="preserve">(</w:t>
            </w:r>
            <w:r>
              <w:rPr>
                <w:sz w:val="22"/>
                <w:szCs w:val="28"/>
                <w:lang w:eastAsia="en-US"/>
              </w:rPr>
              <w:t xml:space="preserve">при</w:t>
            </w:r>
            <w:r>
              <w:rPr>
                <w:sz w:val="22"/>
                <w:szCs w:val="28"/>
                <w:lang w:eastAsia="en-US"/>
              </w:rPr>
              <w:t xml:space="preserve"> наличии)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(</w:t>
            </w:r>
            <w:r>
              <w:rPr>
                <w:rFonts w:eastAsia="Times New Roman"/>
                <w:i/>
              </w:rPr>
              <w:t xml:space="preserve">расшифровка</w:t>
            </w:r>
            <w:r>
              <w:rPr>
                <w:rFonts w:eastAsia="Times New Roman"/>
                <w:i/>
              </w:rPr>
              <w:t xml:space="preserve"> подписи)</w:t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 Владимирович</dc:creator>
  <cp:keywords/>
  <dc:description/>
  <cp:revision>3</cp:revision>
  <dcterms:created xsi:type="dcterms:W3CDTF">2021-08-30T05:53:00Z</dcterms:created>
  <dcterms:modified xsi:type="dcterms:W3CDTF">2024-05-15T04:02:51Z</dcterms:modified>
</cp:coreProperties>
</file>